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1C" w:rsidRDefault="00F40F1C"/>
    <w:p w:rsidR="00F40F1C" w:rsidRDefault="00F40F1C" w:rsidP="00F40F1C">
      <w:r>
        <w:t>Meeting Date:</w:t>
      </w:r>
      <w:r>
        <w:tab/>
        <w:t>Wednesday 9</w:t>
      </w:r>
      <w:r w:rsidRPr="00F40F1C">
        <w:rPr>
          <w:vertAlign w:val="superscript"/>
        </w:rPr>
        <w:t>th</w:t>
      </w:r>
      <w:r>
        <w:t xml:space="preserve"> March</w:t>
      </w:r>
    </w:p>
    <w:p w:rsidR="00F40F1C" w:rsidRDefault="00F40F1C" w:rsidP="00F40F1C">
      <w:pPr>
        <w:ind w:left="1440" w:hanging="1440"/>
      </w:pPr>
      <w:r>
        <w:t>Attendees:</w:t>
      </w:r>
      <w:r>
        <w:tab/>
      </w:r>
      <w:r w:rsidR="001A0DF5">
        <w:t xml:space="preserve">Lee Collins (LC), </w:t>
      </w:r>
      <w:r>
        <w:t xml:space="preserve">John Green (JG), </w:t>
      </w:r>
      <w:r w:rsidR="001A0DF5">
        <w:t xml:space="preserve">Tom Greenwood (TG), </w:t>
      </w:r>
      <w:r>
        <w:t xml:space="preserve">Steve Harrison (SH), Mark Hilditch (MH), </w:t>
      </w:r>
      <w:r w:rsidR="001A0DF5">
        <w:t>Stuart Ogden (SO)</w:t>
      </w:r>
      <w:r w:rsidR="00EA5EB8">
        <w:t xml:space="preserve"> Note</w:t>
      </w:r>
      <w:r w:rsidR="0001114D">
        <w:t>-</w:t>
      </w:r>
      <w:r w:rsidR="00EA5EB8">
        <w:t>taker</w:t>
      </w:r>
      <w:r w:rsidR="001A0DF5">
        <w:t xml:space="preserve">, </w:t>
      </w:r>
      <w:r>
        <w:t xml:space="preserve">Angus Rae (AR), Paul Robinson (PR), Wayne Tomkinson (WT), </w:t>
      </w:r>
      <w:r w:rsidR="00EA5EB8">
        <w:t xml:space="preserve"> </w:t>
      </w:r>
      <w:r w:rsidR="00EA5EB8">
        <w:br/>
      </w:r>
      <w:r>
        <w:t xml:space="preserve">Cherylea Towers (CT), </w:t>
      </w:r>
    </w:p>
    <w:p w:rsidR="00A53708" w:rsidRDefault="00A53708" w:rsidP="00362563">
      <w:pPr>
        <w:spacing w:after="0"/>
        <w:ind w:left="1440" w:hanging="1440"/>
        <w:rPr>
          <w:b/>
          <w:u w:val="single"/>
        </w:rPr>
      </w:pPr>
      <w:r>
        <w:rPr>
          <w:b/>
          <w:u w:val="single"/>
        </w:rPr>
        <w:t>Background:</w:t>
      </w:r>
    </w:p>
    <w:p w:rsidR="00A53708" w:rsidRDefault="00A53708" w:rsidP="00A53708">
      <w:pPr>
        <w:spacing w:after="0"/>
      </w:pPr>
      <w:r>
        <w:t xml:space="preserve">Following the enforced password policy for Staff in early February, attention now switches to realising the change to </w:t>
      </w:r>
      <w:r w:rsidR="0001114D">
        <w:t xml:space="preserve">the </w:t>
      </w:r>
      <w:r>
        <w:t>policy for Students. The meeting was scheduled to bring together stakeholders to discuss options available and to agree on an approach</w:t>
      </w:r>
      <w:r w:rsidR="00375ADE">
        <w:t xml:space="preserve"> that introduces the policy in a sensible way to minimise impact</w:t>
      </w:r>
      <w:r>
        <w:t xml:space="preserve">. </w:t>
      </w:r>
    </w:p>
    <w:p w:rsidR="00A53708" w:rsidRPr="00A53708" w:rsidRDefault="00A53708" w:rsidP="00A53708">
      <w:pPr>
        <w:spacing w:after="0"/>
      </w:pPr>
    </w:p>
    <w:p w:rsidR="001A0DF5" w:rsidRPr="00362563" w:rsidRDefault="001A0DF5" w:rsidP="00362563">
      <w:pPr>
        <w:spacing w:after="0"/>
        <w:ind w:left="1440" w:hanging="1440"/>
        <w:rPr>
          <w:b/>
          <w:u w:val="single"/>
        </w:rPr>
      </w:pPr>
      <w:r w:rsidRPr="00362563">
        <w:rPr>
          <w:b/>
          <w:u w:val="single"/>
        </w:rPr>
        <w:t>Summary Information:</w:t>
      </w:r>
    </w:p>
    <w:p w:rsidR="008921FD" w:rsidRDefault="001A0DF5" w:rsidP="008921FD">
      <w:pPr>
        <w:pStyle w:val="ListParagraph"/>
        <w:numPr>
          <w:ilvl w:val="0"/>
          <w:numId w:val="5"/>
        </w:numPr>
      </w:pPr>
      <w:r>
        <w:t xml:space="preserve">The </w:t>
      </w:r>
      <w:r w:rsidR="004E2526">
        <w:t xml:space="preserve">password </w:t>
      </w:r>
      <w:r>
        <w:t xml:space="preserve">policy </w:t>
      </w:r>
      <w:r w:rsidR="004E2526">
        <w:t>was updated in March 2015</w:t>
      </w:r>
      <w:r w:rsidR="008E78FB">
        <w:t>, under RFC685</w:t>
      </w:r>
      <w:r w:rsidR="00AB32BC">
        <w:t xml:space="preserve"> </w:t>
      </w:r>
    </w:p>
    <w:p w:rsidR="00813E74" w:rsidRDefault="00AB32BC" w:rsidP="008E78FB">
      <w:pPr>
        <w:pStyle w:val="ListParagraph"/>
        <w:numPr>
          <w:ilvl w:val="0"/>
          <w:numId w:val="5"/>
        </w:numPr>
      </w:pPr>
      <w:r>
        <w:t>Accounts created</w:t>
      </w:r>
      <w:r w:rsidR="003D0875">
        <w:t>,</w:t>
      </w:r>
      <w:r>
        <w:t xml:space="preserve"> or </w:t>
      </w:r>
      <w:r w:rsidR="008E78FB">
        <w:t xml:space="preserve">had </w:t>
      </w:r>
      <w:r>
        <w:t>a password c</w:t>
      </w:r>
      <w:r w:rsidR="003D0875">
        <w:t>hange since</w:t>
      </w:r>
      <w:r w:rsidR="00362563">
        <w:t xml:space="preserve"> March 2015</w:t>
      </w:r>
      <w:r w:rsidR="008E78FB">
        <w:t xml:space="preserve"> </w:t>
      </w:r>
      <w:r w:rsidR="003D0875">
        <w:t xml:space="preserve">are subject to a policy with </w:t>
      </w:r>
      <w:r>
        <w:t>increased complexity, but not password age</w:t>
      </w:r>
      <w:r w:rsidR="00813E74">
        <w:t xml:space="preserve">ing. </w:t>
      </w:r>
    </w:p>
    <w:p w:rsidR="003D0875" w:rsidRDefault="00AB32BC" w:rsidP="003D0875">
      <w:pPr>
        <w:pStyle w:val="ListParagraph"/>
        <w:numPr>
          <w:ilvl w:val="0"/>
          <w:numId w:val="5"/>
        </w:numPr>
      </w:pPr>
      <w:r>
        <w:t>Accounts created prior to policy</w:t>
      </w:r>
      <w:r w:rsidR="008921FD">
        <w:t xml:space="preserve"> change in March 2015</w:t>
      </w:r>
      <w:r>
        <w:t xml:space="preserve">, </w:t>
      </w:r>
      <w:r w:rsidR="008E78FB">
        <w:t xml:space="preserve">nor </w:t>
      </w:r>
      <w:r w:rsidR="004E2526">
        <w:t xml:space="preserve">reset their password since are still being managed by the </w:t>
      </w:r>
      <w:r w:rsidR="008921FD">
        <w:t xml:space="preserve">old </w:t>
      </w:r>
      <w:r w:rsidR="004E2526">
        <w:t xml:space="preserve">policy. </w:t>
      </w:r>
      <w:r w:rsidR="008921FD">
        <w:t xml:space="preserve">Essentially </w:t>
      </w:r>
      <w:r w:rsidR="00813E74">
        <w:t>t</w:t>
      </w:r>
      <w:r w:rsidR="004E2526">
        <w:t xml:space="preserve">his applies to </w:t>
      </w:r>
      <w:r w:rsidR="000C75BA">
        <w:t xml:space="preserve">many </w:t>
      </w:r>
      <w:r w:rsidR="00454E90">
        <w:t>2</w:t>
      </w:r>
      <w:r w:rsidR="00454E90" w:rsidRPr="00813E74">
        <w:rPr>
          <w:vertAlign w:val="superscript"/>
        </w:rPr>
        <w:t>nd</w:t>
      </w:r>
      <w:r w:rsidR="00454E90">
        <w:t xml:space="preserve"> and 3</w:t>
      </w:r>
      <w:r w:rsidR="00454E90" w:rsidRPr="00813E74">
        <w:rPr>
          <w:vertAlign w:val="superscript"/>
        </w:rPr>
        <w:t>rd</w:t>
      </w:r>
      <w:r w:rsidR="00454E90">
        <w:t xml:space="preserve"> </w:t>
      </w:r>
      <w:r w:rsidR="000C75BA">
        <w:t>year student accounts.</w:t>
      </w:r>
    </w:p>
    <w:p w:rsidR="001A0DF5" w:rsidRDefault="003D0875" w:rsidP="003D0875">
      <w:pPr>
        <w:pStyle w:val="ListParagraph"/>
        <w:numPr>
          <w:ilvl w:val="0"/>
          <w:numId w:val="5"/>
        </w:numPr>
      </w:pPr>
      <w:r>
        <w:t xml:space="preserve">The impact of enforcing a password change on accounts that don’t comply </w:t>
      </w:r>
      <w:r w:rsidR="00362563">
        <w:t>with</w:t>
      </w:r>
      <w:r>
        <w:t xml:space="preserve"> </w:t>
      </w:r>
      <w:r w:rsidR="000C75BA">
        <w:t xml:space="preserve">new </w:t>
      </w:r>
      <w:r>
        <w:t>policy would be significant. Approximately 16</w:t>
      </w:r>
      <w:r w:rsidR="008E78FB">
        <w:t>,</w:t>
      </w:r>
      <w:r>
        <w:t>500 accounts have logged in within the past 180 days, but have a password older than 180 days. (</w:t>
      </w:r>
      <w:r w:rsidR="0001114D">
        <w:t xml:space="preserve">further details </w:t>
      </w:r>
      <w:r>
        <w:t>see TG’s embedded document)</w:t>
      </w:r>
      <w:r w:rsidR="0001114D">
        <w:br/>
      </w:r>
      <w:r w:rsidR="0001114D">
        <w:rPr>
          <w:rFonts w:ascii="Calibri" w:eastAsia="Times New Roman" w:hAnsi="Calibri" w:cs="Times New Roman"/>
        </w:rPr>
        <w:object w:dxaOrig="144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0.75pt" o:ole="">
            <v:imagedata r:id="rId8" o:title=""/>
          </v:shape>
          <o:OLEObject Type="Embed" ProgID="Outlook.FileAttach" ShapeID="_x0000_i1025" DrawAspect="Icon" ObjectID="_1521536339" r:id="rId9"/>
        </w:object>
      </w:r>
    </w:p>
    <w:p w:rsidR="0001114D" w:rsidRDefault="00DA2D0B" w:rsidP="0001114D">
      <w:pPr>
        <w:pStyle w:val="ListParagraph"/>
        <w:numPr>
          <w:ilvl w:val="0"/>
          <w:numId w:val="5"/>
        </w:numPr>
      </w:pPr>
      <w:r>
        <w:t xml:space="preserve">The volume of calls </w:t>
      </w:r>
      <w:r w:rsidR="00375ADE">
        <w:t xml:space="preserve">from staff </w:t>
      </w:r>
      <w:r>
        <w:t xml:space="preserve">to the Service Desk following the enforced policy </w:t>
      </w:r>
      <w:r w:rsidR="00375ADE">
        <w:t>increased by 33%</w:t>
      </w:r>
    </w:p>
    <w:p w:rsidR="0001114D" w:rsidRDefault="0001114D" w:rsidP="000B2B2D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Communication to students has been limited to screen pop-ups, the current pop-up doesn’t </w:t>
      </w:r>
      <w:r w:rsidR="000B2B2D">
        <w:t xml:space="preserve">emphasise </w:t>
      </w:r>
      <w:r>
        <w:t xml:space="preserve">a deadline for the student </w:t>
      </w:r>
      <w:r w:rsidR="000B2B2D">
        <w:t>to update their password.</w:t>
      </w:r>
      <w:r w:rsidR="000B2B2D">
        <w:br/>
      </w:r>
      <w:r w:rsidR="000B2B2D">
        <w:rPr>
          <w:b/>
          <w:u w:val="single"/>
        </w:rPr>
        <w:t xml:space="preserve"> </w:t>
      </w:r>
      <w:r w:rsidR="00C425F8">
        <w:rPr>
          <w:noProof/>
          <w:lang w:eastAsia="en-GB"/>
        </w:rPr>
        <w:object w:dxaOrig="1531" w:dyaOrig="1004">
          <v:shape id="_x0000_i1026" type="#_x0000_t75" style="width:76.5pt;height:50.25pt" o:ole="">
            <v:imagedata r:id="rId10" o:title=""/>
          </v:shape>
          <o:OLEObject Type="Embed" ProgID="Package" ShapeID="_x0000_i1026" DrawAspect="Icon" ObjectID="_1521536340" r:id="rId11"/>
        </w:object>
      </w:r>
    </w:p>
    <w:p w:rsidR="00C425F8" w:rsidRPr="00C425F8" w:rsidRDefault="00C425F8" w:rsidP="00362563">
      <w:pPr>
        <w:spacing w:after="0"/>
        <w:ind w:left="1440" w:hanging="1440"/>
      </w:pPr>
    </w:p>
    <w:p w:rsidR="001A0DF5" w:rsidRPr="00362563" w:rsidRDefault="001A0DF5" w:rsidP="00362563">
      <w:pPr>
        <w:spacing w:after="0"/>
        <w:ind w:left="1440" w:hanging="1440"/>
        <w:rPr>
          <w:b/>
          <w:u w:val="single"/>
        </w:rPr>
      </w:pPr>
      <w:r w:rsidRPr="00362563">
        <w:rPr>
          <w:b/>
          <w:u w:val="single"/>
        </w:rPr>
        <w:t>Decision’s reached:</w:t>
      </w:r>
    </w:p>
    <w:p w:rsidR="00813E74" w:rsidRDefault="00AB32BC" w:rsidP="001A0DF5">
      <w:pPr>
        <w:pStyle w:val="ListParagraph"/>
        <w:numPr>
          <w:ilvl w:val="0"/>
          <w:numId w:val="3"/>
        </w:numPr>
      </w:pPr>
      <w:r>
        <w:t xml:space="preserve">The priority is to </w:t>
      </w:r>
      <w:r w:rsidR="00813E74">
        <w:t>demonstrate progress to address the password policy issue.</w:t>
      </w:r>
    </w:p>
    <w:p w:rsidR="000C75BA" w:rsidRDefault="003D0875" w:rsidP="004E5D52">
      <w:pPr>
        <w:pStyle w:val="ListParagraph"/>
        <w:numPr>
          <w:ilvl w:val="0"/>
          <w:numId w:val="3"/>
        </w:numPr>
      </w:pPr>
      <w:r>
        <w:t>Demonstrating progress should be balanced against the impact the change is likely to have. As such</w:t>
      </w:r>
      <w:r w:rsidR="000C75BA">
        <w:t xml:space="preserve">, enforcing the </w:t>
      </w:r>
      <w:r>
        <w:t xml:space="preserve">policy </w:t>
      </w:r>
      <w:r w:rsidR="000C75BA">
        <w:t xml:space="preserve">over the Easter break </w:t>
      </w:r>
      <w:r>
        <w:t>will be deferred</w:t>
      </w:r>
      <w:r w:rsidR="00362563">
        <w:t>.</w:t>
      </w:r>
    </w:p>
    <w:p w:rsidR="00E17E31" w:rsidRDefault="00362563" w:rsidP="002E7C69">
      <w:pPr>
        <w:pStyle w:val="ListParagraph"/>
        <w:numPr>
          <w:ilvl w:val="0"/>
          <w:numId w:val="3"/>
        </w:numPr>
      </w:pPr>
      <w:r>
        <w:t>T</w:t>
      </w:r>
      <w:r w:rsidR="000C75BA">
        <w:t xml:space="preserve">he </w:t>
      </w:r>
      <w:r w:rsidR="00E17E31">
        <w:t xml:space="preserve">potential </w:t>
      </w:r>
      <w:r w:rsidR="000C75BA">
        <w:t xml:space="preserve">impact </w:t>
      </w:r>
      <w:r w:rsidR="00E17E31">
        <w:t xml:space="preserve">of enforcing policy change to an account for a student in their final year </w:t>
      </w:r>
      <w:r w:rsidR="000C75BA">
        <w:t>outweighs the benefit</w:t>
      </w:r>
      <w:r w:rsidR="00E17E31">
        <w:t>. These accounts will reduce naturally as they move through the lifecycle.</w:t>
      </w:r>
      <w:r w:rsidR="000C75BA">
        <w:t xml:space="preserve"> </w:t>
      </w:r>
      <w:r w:rsidR="00E17E31">
        <w:t>No Action required.</w:t>
      </w:r>
    </w:p>
    <w:p w:rsidR="003D0875" w:rsidRDefault="000C75BA" w:rsidP="002E7C69">
      <w:pPr>
        <w:pStyle w:val="ListParagraph"/>
        <w:numPr>
          <w:ilvl w:val="0"/>
          <w:numId w:val="3"/>
        </w:numPr>
      </w:pPr>
      <w:r>
        <w:t xml:space="preserve">A phased approach to introducing </w:t>
      </w:r>
      <w:r w:rsidR="00E17E31">
        <w:t xml:space="preserve">policy </w:t>
      </w:r>
      <w:r>
        <w:t xml:space="preserve">changes </w:t>
      </w:r>
      <w:r w:rsidR="00E17E31">
        <w:t xml:space="preserve">for </w:t>
      </w:r>
      <w:r>
        <w:t xml:space="preserve">complexity. </w:t>
      </w:r>
    </w:p>
    <w:p w:rsidR="00E17E31" w:rsidRDefault="00E17E31" w:rsidP="00E17E31">
      <w:pPr>
        <w:pStyle w:val="ListParagraph"/>
        <w:numPr>
          <w:ilvl w:val="1"/>
          <w:numId w:val="3"/>
        </w:numPr>
      </w:pPr>
      <w:r>
        <w:t>Students starting as Year 1 in September 2016 will be provisioned with complexity and ageing rules (Action2)</w:t>
      </w:r>
    </w:p>
    <w:p w:rsidR="00E17E31" w:rsidRDefault="00E17E31" w:rsidP="00E17E31">
      <w:pPr>
        <w:pStyle w:val="ListParagraph"/>
        <w:numPr>
          <w:ilvl w:val="1"/>
          <w:numId w:val="3"/>
        </w:numPr>
      </w:pPr>
      <w:r>
        <w:t>Students returning as Year2</w:t>
      </w:r>
      <w:r w:rsidR="00DA2D0B">
        <w:t xml:space="preserve"> in September 2016 </w:t>
      </w:r>
      <w:r>
        <w:t>will already have complexity set.</w:t>
      </w:r>
    </w:p>
    <w:p w:rsidR="00DA2D0B" w:rsidRDefault="00DA2D0B" w:rsidP="00DA2D0B">
      <w:pPr>
        <w:pStyle w:val="ListParagraph"/>
        <w:numPr>
          <w:ilvl w:val="1"/>
          <w:numId w:val="3"/>
        </w:numPr>
      </w:pPr>
      <w:r>
        <w:t>ITS will encourage Students returning as Year 3 in September 2016 to reset their password, but will enforce the policy on 1</w:t>
      </w:r>
      <w:r w:rsidRPr="00DA2D0B">
        <w:rPr>
          <w:vertAlign w:val="superscript"/>
        </w:rPr>
        <w:t>st</w:t>
      </w:r>
      <w:r>
        <w:t xml:space="preserve"> August 2016. Policy will enforce complexity and ageing at the same time.</w:t>
      </w:r>
    </w:p>
    <w:p w:rsidR="00E17E31" w:rsidRDefault="00DA2D0B" w:rsidP="00DA2D0B">
      <w:pPr>
        <w:pStyle w:val="ListParagraph"/>
        <w:numPr>
          <w:ilvl w:val="0"/>
          <w:numId w:val="3"/>
        </w:numPr>
      </w:pPr>
      <w:r>
        <w:t>A phased approach to introducing ageing will be applied to S</w:t>
      </w:r>
      <w:r w:rsidR="00E17E31">
        <w:t>tudents</w:t>
      </w:r>
      <w:r>
        <w:t xml:space="preserve"> returning as Year2.</w:t>
      </w:r>
    </w:p>
    <w:p w:rsidR="00AB32BC" w:rsidRDefault="00AB32BC" w:rsidP="001A0DF5">
      <w:pPr>
        <w:pStyle w:val="ListParagraph"/>
        <w:numPr>
          <w:ilvl w:val="0"/>
          <w:numId w:val="3"/>
        </w:numPr>
      </w:pPr>
      <w:r>
        <w:t>Ageing will be set to 12 months</w:t>
      </w:r>
      <w:r w:rsidR="00EA5EB8">
        <w:t xml:space="preserve"> for students. Staff will remain on 6 months.</w:t>
      </w:r>
    </w:p>
    <w:p w:rsidR="00DA2D0B" w:rsidRDefault="00DA2D0B" w:rsidP="001A0DF5">
      <w:pPr>
        <w:pStyle w:val="ListParagraph"/>
        <w:numPr>
          <w:ilvl w:val="0"/>
          <w:numId w:val="3"/>
        </w:numPr>
      </w:pPr>
      <w:r>
        <w:t>The aim is to have completed the work during 2016.</w:t>
      </w:r>
    </w:p>
    <w:p w:rsidR="001A0DF5" w:rsidRDefault="001A0DF5" w:rsidP="00F40F1C">
      <w:pPr>
        <w:ind w:left="1440" w:hanging="1440"/>
      </w:pPr>
    </w:p>
    <w:p w:rsidR="004E2526" w:rsidRDefault="004E2526" w:rsidP="00F40F1C">
      <w:pPr>
        <w:ind w:left="1440" w:hanging="1440"/>
        <w:sectPr w:rsidR="004E2526" w:rsidSect="00F40F1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A5EB8" w:rsidRDefault="00EA5EB8" w:rsidP="00F40F1C">
      <w:pPr>
        <w:ind w:left="1440" w:hanging="1440"/>
      </w:pPr>
      <w:r>
        <w:lastRenderedPageBreak/>
        <w:t>Action Log:</w:t>
      </w:r>
    </w:p>
    <w:tbl>
      <w:tblPr>
        <w:tblStyle w:val="TableGrid"/>
        <w:tblW w:w="13791" w:type="dxa"/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6492"/>
        <w:gridCol w:w="1163"/>
        <w:gridCol w:w="2484"/>
        <w:gridCol w:w="1247"/>
      </w:tblGrid>
      <w:tr w:rsidR="00D843FD" w:rsidRPr="00B74103" w:rsidTr="00F0309C">
        <w:tc>
          <w:tcPr>
            <w:tcW w:w="817" w:type="dxa"/>
            <w:tcBorders>
              <w:bottom w:val="single" w:sz="4" w:space="0" w:color="auto"/>
            </w:tcBorders>
          </w:tcPr>
          <w:p w:rsidR="00D843FD" w:rsidRPr="00B74103" w:rsidRDefault="00D843FD" w:rsidP="00960730">
            <w:pPr>
              <w:rPr>
                <w:b/>
                <w:sz w:val="20"/>
                <w:szCs w:val="20"/>
              </w:rPr>
            </w:pPr>
            <w:r w:rsidRPr="00B74103">
              <w:rPr>
                <w:b/>
                <w:sz w:val="20"/>
                <w:szCs w:val="20"/>
              </w:rPr>
              <w:t>Action Ref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D843FD" w:rsidRPr="00B74103" w:rsidRDefault="00D843FD" w:rsidP="00960730">
            <w:pPr>
              <w:rPr>
                <w:b/>
                <w:sz w:val="20"/>
                <w:szCs w:val="20"/>
              </w:rPr>
            </w:pPr>
            <w:r w:rsidRPr="00B74103">
              <w:rPr>
                <w:b/>
                <w:sz w:val="20"/>
                <w:szCs w:val="20"/>
              </w:rPr>
              <w:t>Action Area</w:t>
            </w:r>
          </w:p>
        </w:tc>
        <w:tc>
          <w:tcPr>
            <w:tcW w:w="6492" w:type="dxa"/>
            <w:tcBorders>
              <w:bottom w:val="single" w:sz="4" w:space="0" w:color="auto"/>
            </w:tcBorders>
          </w:tcPr>
          <w:p w:rsidR="00D843FD" w:rsidRPr="00B74103" w:rsidRDefault="00D843FD" w:rsidP="00960730">
            <w:pPr>
              <w:rPr>
                <w:b/>
                <w:sz w:val="20"/>
                <w:szCs w:val="20"/>
              </w:rPr>
            </w:pPr>
            <w:r w:rsidRPr="00B7410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D843FD" w:rsidRPr="00B74103" w:rsidRDefault="00F0309C" w:rsidP="009607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Suggested </w:t>
            </w:r>
            <w:r w:rsidR="00D843FD" w:rsidRPr="00B74103">
              <w:rPr>
                <w:b/>
                <w:sz w:val="20"/>
                <w:szCs w:val="20"/>
              </w:rPr>
              <w:t xml:space="preserve">Owner </w:t>
            </w: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D843FD" w:rsidRPr="00B74103" w:rsidRDefault="00D843FD" w:rsidP="00960730">
            <w:pPr>
              <w:rPr>
                <w:b/>
                <w:sz w:val="20"/>
                <w:szCs w:val="20"/>
              </w:rPr>
            </w:pPr>
            <w:r w:rsidRPr="00B74103">
              <w:rPr>
                <w:b/>
                <w:sz w:val="20"/>
                <w:szCs w:val="20"/>
              </w:rPr>
              <w:t>Update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D843FD" w:rsidRPr="00B74103" w:rsidRDefault="00D843FD" w:rsidP="009607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D843FD" w:rsidRPr="00B74103" w:rsidTr="00F0309C">
        <w:tc>
          <w:tcPr>
            <w:tcW w:w="817" w:type="dxa"/>
            <w:tcBorders>
              <w:bottom w:val="single" w:sz="4" w:space="0" w:color="auto"/>
            </w:tcBorders>
          </w:tcPr>
          <w:p w:rsidR="00D843FD" w:rsidRPr="000111AF" w:rsidRDefault="00D843FD" w:rsidP="00D8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D843FD" w:rsidRDefault="00D843FD" w:rsidP="00D843FD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AD</w:t>
            </w:r>
          </w:p>
        </w:tc>
        <w:tc>
          <w:tcPr>
            <w:tcW w:w="6492" w:type="dxa"/>
            <w:tcBorders>
              <w:bottom w:val="single" w:sz="4" w:space="0" w:color="auto"/>
            </w:tcBorders>
          </w:tcPr>
          <w:p w:rsidR="00D843FD" w:rsidRDefault="00D843FD" w:rsidP="00D843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Create an AD Group that enforces the strengthened complexity and ageing password policy rules to students.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D843FD" w:rsidRDefault="00D843FD" w:rsidP="00D8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TG</w:t>
            </w: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D843FD" w:rsidRPr="00693018" w:rsidRDefault="00D843FD" w:rsidP="00D843FD">
            <w:pPr>
              <w:rPr>
                <w:sz w:val="20"/>
                <w:szCs w:val="20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D843FD" w:rsidRDefault="00D843FD" w:rsidP="00D843FD">
            <w:pPr>
              <w:rPr>
                <w:sz w:val="20"/>
                <w:szCs w:val="20"/>
              </w:rPr>
            </w:pPr>
          </w:p>
        </w:tc>
      </w:tr>
      <w:tr w:rsidR="00D843FD" w:rsidRPr="00B74103" w:rsidTr="00F0309C">
        <w:tc>
          <w:tcPr>
            <w:tcW w:w="817" w:type="dxa"/>
            <w:tcBorders>
              <w:bottom w:val="single" w:sz="4" w:space="0" w:color="auto"/>
            </w:tcBorders>
          </w:tcPr>
          <w:p w:rsidR="00D843FD" w:rsidRDefault="00D843FD" w:rsidP="00D8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D843FD" w:rsidRDefault="00D843FD" w:rsidP="00D843FD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AccMan Update</w:t>
            </w:r>
          </w:p>
        </w:tc>
        <w:tc>
          <w:tcPr>
            <w:tcW w:w="6492" w:type="dxa"/>
            <w:tcBorders>
              <w:bottom w:val="single" w:sz="4" w:space="0" w:color="auto"/>
            </w:tcBorders>
          </w:tcPr>
          <w:p w:rsidR="00D843FD" w:rsidRDefault="006701F1" w:rsidP="006701F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 to AccMan scripts relating to the provisioning of n</w:t>
            </w:r>
            <w:r w:rsidR="00D843FD">
              <w:rPr>
                <w:color w:val="000000"/>
                <w:sz w:val="20"/>
                <w:szCs w:val="20"/>
              </w:rPr>
              <w:t>ew student accounts</w:t>
            </w:r>
            <w:r>
              <w:rPr>
                <w:color w:val="000000"/>
                <w:sz w:val="20"/>
                <w:szCs w:val="20"/>
              </w:rPr>
              <w:t>.</w:t>
            </w:r>
            <w:r w:rsidR="00D843FD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On provisioning of a student, the account </w:t>
            </w:r>
            <w:r w:rsidR="00D843FD">
              <w:rPr>
                <w:color w:val="000000"/>
                <w:sz w:val="20"/>
                <w:szCs w:val="20"/>
              </w:rPr>
              <w:t xml:space="preserve">should be created and added to the AD group </w:t>
            </w:r>
            <w:r>
              <w:rPr>
                <w:color w:val="000000"/>
                <w:sz w:val="20"/>
                <w:szCs w:val="20"/>
              </w:rPr>
              <w:t xml:space="preserve">described </w:t>
            </w:r>
            <w:r w:rsidR="00D843FD">
              <w:rPr>
                <w:color w:val="000000"/>
                <w:sz w:val="20"/>
                <w:szCs w:val="20"/>
              </w:rPr>
              <w:t xml:space="preserve">in Action 1. </w:t>
            </w:r>
            <w:r>
              <w:rPr>
                <w:color w:val="000000"/>
                <w:sz w:val="20"/>
                <w:szCs w:val="20"/>
              </w:rPr>
              <w:br/>
            </w:r>
            <w:r w:rsidR="00D843FD">
              <w:rPr>
                <w:color w:val="000000"/>
                <w:sz w:val="20"/>
                <w:szCs w:val="20"/>
              </w:rPr>
              <w:t xml:space="preserve">Ensures </w:t>
            </w:r>
            <w:r w:rsidR="00F0309C">
              <w:rPr>
                <w:color w:val="000000"/>
                <w:sz w:val="20"/>
                <w:szCs w:val="20"/>
              </w:rPr>
              <w:t xml:space="preserve">2016 </w:t>
            </w:r>
            <w:r w:rsidR="00D843FD">
              <w:rPr>
                <w:color w:val="000000"/>
                <w:sz w:val="20"/>
                <w:szCs w:val="20"/>
              </w:rPr>
              <w:t xml:space="preserve">Year1 student accounts are created as per the desired policy. Preventing the problem from growing any further. 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D843FD" w:rsidRDefault="00D843FD" w:rsidP="00D8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</w:t>
            </w: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F2297C" w:rsidRDefault="00944ED2" w:rsidP="00F229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bidi="gu-IN"/>
              </w:rPr>
            </w:pPr>
            <w:r>
              <w:rPr>
                <w:sz w:val="20"/>
                <w:szCs w:val="20"/>
              </w:rPr>
              <w:t xml:space="preserve">Alter transaction 93, </w:t>
            </w:r>
            <w:r w:rsidR="00F2297C">
              <w:rPr>
                <w:rFonts w:ascii="Consolas" w:hAnsi="Consolas" w:cs="Consolas"/>
                <w:sz w:val="19"/>
                <w:szCs w:val="19"/>
                <w:lang w:bidi="gu-IN"/>
              </w:rPr>
              <w:t>ACTIVE_DIRECTORY_NEW_USER</w:t>
            </w:r>
            <w:r w:rsidR="00F2297C" w:rsidRPr="00F2297C">
              <w:rPr>
                <w:rFonts w:cstheme="minorHAnsi"/>
                <w:sz w:val="19"/>
                <w:szCs w:val="19"/>
                <w:lang w:bidi="gu-IN"/>
              </w:rPr>
              <w:t xml:space="preserve"> to </w:t>
            </w:r>
            <w:r w:rsidR="006460C0">
              <w:rPr>
                <w:rFonts w:cstheme="minorHAnsi"/>
                <w:sz w:val="19"/>
                <w:szCs w:val="19"/>
                <w:lang w:bidi="gu-IN"/>
              </w:rPr>
              <w:t>add user to new</w:t>
            </w:r>
            <w:r w:rsidR="00F2297C">
              <w:rPr>
                <w:rFonts w:cstheme="minorHAnsi"/>
                <w:sz w:val="19"/>
                <w:szCs w:val="19"/>
                <w:lang w:bidi="gu-IN"/>
              </w:rPr>
              <w:t xml:space="preserve"> group.</w:t>
            </w:r>
          </w:p>
          <w:p w:rsidR="00D843FD" w:rsidRPr="00693018" w:rsidRDefault="00D843FD" w:rsidP="00D843FD">
            <w:pPr>
              <w:rPr>
                <w:sz w:val="20"/>
                <w:szCs w:val="20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D843FD" w:rsidRDefault="00D17D57" w:rsidP="00944E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944ED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days</w:t>
            </w:r>
          </w:p>
        </w:tc>
      </w:tr>
      <w:tr w:rsidR="00D843FD" w:rsidRPr="00B74103" w:rsidTr="00F0309C">
        <w:tc>
          <w:tcPr>
            <w:tcW w:w="817" w:type="dxa"/>
          </w:tcPr>
          <w:p w:rsidR="00D843FD" w:rsidRDefault="00D843FD" w:rsidP="00D8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</w:t>
            </w:r>
          </w:p>
        </w:tc>
        <w:tc>
          <w:tcPr>
            <w:tcW w:w="1588" w:type="dxa"/>
          </w:tcPr>
          <w:p w:rsidR="00D843FD" w:rsidRDefault="006701F1" w:rsidP="00D843FD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AccMan / Password </w:t>
            </w:r>
            <w:r w:rsidR="00D843FD">
              <w:rPr>
                <w:bCs/>
                <w:color w:val="000000"/>
                <w:sz w:val="20"/>
                <w:szCs w:val="20"/>
              </w:rPr>
              <w:t>Self Service</w:t>
            </w:r>
          </w:p>
        </w:tc>
        <w:tc>
          <w:tcPr>
            <w:tcW w:w="6492" w:type="dxa"/>
          </w:tcPr>
          <w:p w:rsidR="006701F1" w:rsidRDefault="006701F1" w:rsidP="006701F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Change to AccMan scripts following a self-service AD password reset. </w:t>
            </w:r>
          </w:p>
          <w:p w:rsidR="00D843FD" w:rsidRDefault="006701F1" w:rsidP="00CC478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 initiating a self-service password change, the account should be added to the AD group described in Action 1.</w:t>
            </w:r>
            <w:r w:rsidR="001C4F4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br/>
              <w:t xml:space="preserve">Introduces complexity and ageing rules on a random basis for current </w:t>
            </w:r>
            <w:r w:rsidR="00CC4784">
              <w:rPr>
                <w:color w:val="000000"/>
                <w:sz w:val="20"/>
                <w:szCs w:val="20"/>
              </w:rPr>
              <w:t>students, will less</w:t>
            </w:r>
            <w:r w:rsidR="00DE4857">
              <w:rPr>
                <w:color w:val="000000"/>
                <w:sz w:val="20"/>
                <w:szCs w:val="20"/>
              </w:rPr>
              <w:t>en</w:t>
            </w:r>
            <w:r w:rsidR="00CC4784">
              <w:rPr>
                <w:color w:val="000000"/>
                <w:sz w:val="20"/>
                <w:szCs w:val="20"/>
              </w:rPr>
              <w:t xml:space="preserve"> the impact of enforced complexity and ageing rule for returning 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701F1">
              <w:rPr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color w:val="000000"/>
                <w:sz w:val="20"/>
                <w:szCs w:val="20"/>
              </w:rPr>
              <w:t xml:space="preserve"> / 3</w:t>
            </w:r>
            <w:r w:rsidRPr="006701F1">
              <w:rPr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color w:val="000000"/>
                <w:sz w:val="20"/>
                <w:szCs w:val="20"/>
              </w:rPr>
              <w:t xml:space="preserve"> year students. </w:t>
            </w:r>
            <w:r w:rsidR="00CC4784">
              <w:rPr>
                <w:color w:val="000000"/>
                <w:sz w:val="20"/>
                <w:szCs w:val="20"/>
              </w:rPr>
              <w:t>Should be actioned as soon as practical.</w:t>
            </w:r>
          </w:p>
        </w:tc>
        <w:tc>
          <w:tcPr>
            <w:tcW w:w="1163" w:type="dxa"/>
          </w:tcPr>
          <w:p w:rsidR="00D843FD" w:rsidRDefault="006701F1" w:rsidP="00D8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</w:t>
            </w:r>
          </w:p>
        </w:tc>
        <w:tc>
          <w:tcPr>
            <w:tcW w:w="2484" w:type="dxa"/>
          </w:tcPr>
          <w:p w:rsidR="00D17D57" w:rsidRDefault="00D17D57" w:rsidP="00D17D5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Amend </w:t>
            </w:r>
            <w:r>
              <w:rPr>
                <w:sz w:val="20"/>
                <w:szCs w:val="20"/>
              </w:rPr>
              <w:t xml:space="preserve">transaction </w:t>
            </w:r>
            <w:r w:rsidR="00944ED2">
              <w:rPr>
                <w:sz w:val="20"/>
                <w:szCs w:val="20"/>
              </w:rPr>
              <w:t xml:space="preserve">91, </w:t>
            </w:r>
            <w:r>
              <w:rPr>
                <w:rFonts w:ascii="Consolas" w:hAnsi="Consolas" w:cs="Consolas"/>
                <w:sz w:val="19"/>
                <w:szCs w:val="19"/>
                <w:lang w:bidi="gu-IN"/>
              </w:rPr>
              <w:t>SET_USER_ACTIVE_DIRECTORY_PASSWORD</w:t>
            </w:r>
            <w:r>
              <w:rPr>
                <w:rFonts w:ascii="Consolas" w:hAnsi="Consolas" w:cs="Consolas"/>
                <w:sz w:val="19"/>
                <w:szCs w:val="19"/>
                <w:lang w:bidi="gu-IN"/>
              </w:rPr>
              <w:t xml:space="preserve"> </w:t>
            </w:r>
            <w:r w:rsidRPr="00F2297C">
              <w:rPr>
                <w:rFonts w:cstheme="minorHAnsi"/>
                <w:sz w:val="19"/>
                <w:szCs w:val="19"/>
                <w:lang w:bidi="gu-IN"/>
              </w:rPr>
              <w:t xml:space="preserve">to </w:t>
            </w:r>
            <w:r>
              <w:rPr>
                <w:rFonts w:cstheme="minorHAnsi"/>
                <w:sz w:val="19"/>
                <w:szCs w:val="19"/>
                <w:lang w:bidi="gu-IN"/>
              </w:rPr>
              <w:t>add user to new group.</w:t>
            </w:r>
          </w:p>
          <w:p w:rsidR="00D17D57" w:rsidRDefault="00D17D57" w:rsidP="00D17D5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D17D57" w:rsidRPr="00D17D57" w:rsidRDefault="00D17D57" w:rsidP="00D17D57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Validate old </w:t>
            </w:r>
            <w:r w:rsidRPr="00D17D57">
              <w:rPr>
                <w:b/>
                <w:bCs/>
                <w:color w:val="000000"/>
                <w:sz w:val="20"/>
                <w:szCs w:val="20"/>
              </w:rPr>
              <w:t>passwords</w:t>
            </w:r>
          </w:p>
          <w:p w:rsidR="006460C0" w:rsidRDefault="006460C0" w:rsidP="00D17D5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Password</w:t>
            </w:r>
            <w:r w:rsidR="00D323FE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Reset</w:t>
            </w:r>
            <w:r w:rsidR="00D323FE">
              <w:rPr>
                <w:color w:val="000000"/>
                <w:sz w:val="20"/>
                <w:szCs w:val="20"/>
              </w:rPr>
              <w:t xml:space="preserve"> does not enforce verification against the last 15 passwords. To enforce this we would need to store hashes of each AD password generated in the </w:t>
            </w:r>
            <w:proofErr w:type="spellStart"/>
            <w:r w:rsidR="00D323FE">
              <w:rPr>
                <w:color w:val="000000"/>
                <w:sz w:val="20"/>
                <w:szCs w:val="20"/>
              </w:rPr>
              <w:t>Accman</w:t>
            </w:r>
            <w:proofErr w:type="spellEnd"/>
            <w:r w:rsidR="00D323FE">
              <w:rPr>
                <w:color w:val="000000"/>
                <w:sz w:val="20"/>
                <w:szCs w:val="20"/>
              </w:rPr>
              <w:t xml:space="preserve"> database. The hashes can be matched against the user entered password so the </w:t>
            </w:r>
            <w:r w:rsidR="00D323FE">
              <w:rPr>
                <w:rFonts w:ascii="Consolas" w:hAnsi="Consolas" w:cs="Consolas"/>
                <w:sz w:val="19"/>
                <w:szCs w:val="19"/>
                <w:lang w:bidi="gu-IN"/>
              </w:rPr>
              <w:t>SET_USER_ACTIVE_DIRECTORY_PASSWORD</w:t>
            </w:r>
            <w:r w:rsidR="00D17D57">
              <w:rPr>
                <w:rFonts w:ascii="Consolas" w:hAnsi="Consolas" w:cs="Consolas"/>
                <w:sz w:val="19"/>
                <w:szCs w:val="19"/>
                <w:lang w:bidi="gu-IN"/>
              </w:rPr>
              <w:t xml:space="preserve"> t</w:t>
            </w:r>
            <w:r w:rsidR="00D17D57">
              <w:rPr>
                <w:color w:val="000000"/>
                <w:sz w:val="20"/>
                <w:szCs w:val="20"/>
              </w:rPr>
              <w:t>ransaction d</w:t>
            </w:r>
            <w:r w:rsidR="00D323FE">
              <w:rPr>
                <w:color w:val="000000"/>
                <w:sz w:val="20"/>
                <w:szCs w:val="20"/>
              </w:rPr>
              <w:t>oes not fail.</w:t>
            </w:r>
          </w:p>
        </w:tc>
        <w:tc>
          <w:tcPr>
            <w:tcW w:w="1247" w:type="dxa"/>
          </w:tcPr>
          <w:p w:rsidR="00D843FD" w:rsidRDefault="00944ED2" w:rsidP="00D17D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17D5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3</w:t>
            </w:r>
            <w:r w:rsidR="00D17D57">
              <w:rPr>
                <w:sz w:val="20"/>
                <w:szCs w:val="20"/>
              </w:rPr>
              <w:t xml:space="preserve"> days</w:t>
            </w:r>
          </w:p>
          <w:p w:rsidR="00D17D57" w:rsidRDefault="00D17D57" w:rsidP="00D17D57">
            <w:pPr>
              <w:rPr>
                <w:sz w:val="20"/>
                <w:szCs w:val="20"/>
              </w:rPr>
            </w:pPr>
          </w:p>
          <w:p w:rsidR="00D17D57" w:rsidRDefault="00D17D57" w:rsidP="00D17D57">
            <w:pPr>
              <w:rPr>
                <w:sz w:val="20"/>
                <w:szCs w:val="20"/>
              </w:rPr>
            </w:pPr>
          </w:p>
          <w:p w:rsidR="00D17D57" w:rsidRDefault="00D17D57" w:rsidP="00D17D57">
            <w:pPr>
              <w:rPr>
                <w:sz w:val="20"/>
                <w:szCs w:val="20"/>
              </w:rPr>
            </w:pPr>
          </w:p>
          <w:p w:rsidR="00D17D57" w:rsidRDefault="00D17D57" w:rsidP="00D17D57">
            <w:pPr>
              <w:rPr>
                <w:sz w:val="20"/>
                <w:szCs w:val="20"/>
              </w:rPr>
            </w:pPr>
          </w:p>
          <w:p w:rsidR="00D17D57" w:rsidRPr="00D17D57" w:rsidRDefault="00944ED2" w:rsidP="00944E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17D5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4</w:t>
            </w:r>
            <w:r w:rsidR="00D17D57">
              <w:rPr>
                <w:sz w:val="20"/>
                <w:szCs w:val="20"/>
              </w:rPr>
              <w:t xml:space="preserve"> days</w:t>
            </w:r>
          </w:p>
        </w:tc>
      </w:tr>
      <w:tr w:rsidR="00D843FD" w:rsidRPr="00B74103" w:rsidTr="00F0309C">
        <w:tc>
          <w:tcPr>
            <w:tcW w:w="817" w:type="dxa"/>
          </w:tcPr>
          <w:p w:rsidR="00D843FD" w:rsidRDefault="006701F1" w:rsidP="00D8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</w:t>
            </w:r>
          </w:p>
        </w:tc>
        <w:tc>
          <w:tcPr>
            <w:tcW w:w="1588" w:type="dxa"/>
          </w:tcPr>
          <w:p w:rsidR="00D843FD" w:rsidRDefault="001C4F4C" w:rsidP="00D843FD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AccMan </w:t>
            </w:r>
          </w:p>
          <w:p w:rsidR="001C4F4C" w:rsidRDefault="001C4F4C" w:rsidP="00D843FD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Update</w:t>
            </w:r>
          </w:p>
        </w:tc>
        <w:tc>
          <w:tcPr>
            <w:tcW w:w="6492" w:type="dxa"/>
          </w:tcPr>
          <w:p w:rsidR="001C4F4C" w:rsidRDefault="001C4F4C" w:rsidP="001C4F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Change to AccMan scripts </w:t>
            </w:r>
            <w:r w:rsidR="00DE4857">
              <w:rPr>
                <w:color w:val="000000"/>
                <w:sz w:val="20"/>
                <w:szCs w:val="20"/>
              </w:rPr>
              <w:t xml:space="preserve">used when a </w:t>
            </w:r>
            <w:r>
              <w:rPr>
                <w:color w:val="000000"/>
                <w:sz w:val="20"/>
                <w:szCs w:val="20"/>
              </w:rPr>
              <w:t xml:space="preserve">Service Desk </w:t>
            </w:r>
            <w:r w:rsidR="00DE4857">
              <w:rPr>
                <w:color w:val="000000"/>
                <w:sz w:val="20"/>
                <w:szCs w:val="20"/>
              </w:rPr>
              <w:t>agent resets a student’s AD password.</w:t>
            </w:r>
          </w:p>
          <w:p w:rsidR="00D843FD" w:rsidRDefault="001C4F4C" w:rsidP="001C4F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Following Service Desk resetting students AD password, the account should be added to the AD group described in Action 1. </w:t>
            </w:r>
          </w:p>
        </w:tc>
        <w:tc>
          <w:tcPr>
            <w:tcW w:w="1163" w:type="dxa"/>
          </w:tcPr>
          <w:p w:rsidR="00D843FD" w:rsidRDefault="001C4F4C" w:rsidP="00D8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</w:t>
            </w:r>
          </w:p>
        </w:tc>
        <w:tc>
          <w:tcPr>
            <w:tcW w:w="2484" w:type="dxa"/>
          </w:tcPr>
          <w:p w:rsidR="00944ED2" w:rsidRDefault="00944ED2" w:rsidP="00944ED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Amend </w:t>
            </w:r>
            <w:proofErr w:type="spellStart"/>
            <w:r>
              <w:rPr>
                <w:color w:val="000000"/>
                <w:sz w:val="20"/>
                <w:szCs w:val="20"/>
              </w:rPr>
              <w:t>Accman</w:t>
            </w:r>
            <w:proofErr w:type="spellEnd"/>
            <w:r w:rsidR="006460C0">
              <w:rPr>
                <w:color w:val="000000"/>
                <w:sz w:val="20"/>
                <w:szCs w:val="20"/>
              </w:rPr>
              <w:t xml:space="preserve"> FE</w:t>
            </w:r>
            <w:r w:rsidR="00D17D57">
              <w:rPr>
                <w:color w:val="000000"/>
                <w:sz w:val="20"/>
                <w:szCs w:val="20"/>
              </w:rPr>
              <w:t xml:space="preserve"> to include </w:t>
            </w:r>
            <w:r w:rsidR="00D17D57">
              <w:rPr>
                <w:color w:val="000000"/>
                <w:sz w:val="20"/>
                <w:szCs w:val="20"/>
              </w:rPr>
              <w:t>Password Reset</w:t>
            </w:r>
            <w:r w:rsidR="00D17D57">
              <w:rPr>
                <w:color w:val="000000"/>
                <w:sz w:val="20"/>
                <w:szCs w:val="20"/>
              </w:rPr>
              <w:t xml:space="preserve"> style validation (See Action Ref 3 - </w:t>
            </w:r>
            <w:r w:rsidR="00D17D57" w:rsidRPr="00D17D57">
              <w:rPr>
                <w:color w:val="000000"/>
                <w:sz w:val="20"/>
                <w:szCs w:val="20"/>
              </w:rPr>
              <w:t>Validate old passwords</w:t>
            </w:r>
            <w:r w:rsidR="00D17D57">
              <w:rPr>
                <w:color w:val="000000"/>
                <w:sz w:val="20"/>
                <w:szCs w:val="20"/>
              </w:rPr>
              <w:t xml:space="preserve">). </w:t>
            </w:r>
          </w:p>
          <w:p w:rsidR="00944ED2" w:rsidRDefault="00944ED2" w:rsidP="00944ED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944ED2" w:rsidRPr="00944ED2" w:rsidRDefault="00944ED2" w:rsidP="00944ED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change to the password is done by transaction 91 </w:t>
            </w:r>
            <w:r>
              <w:rPr>
                <w:color w:val="000000"/>
                <w:sz w:val="20"/>
                <w:szCs w:val="20"/>
              </w:rPr>
              <w:t xml:space="preserve">(See </w:t>
            </w:r>
            <w:r>
              <w:rPr>
                <w:color w:val="000000"/>
                <w:sz w:val="20"/>
                <w:szCs w:val="20"/>
              </w:rPr>
              <w:t>Action Ref 3</w:t>
            </w:r>
            <w:r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247" w:type="dxa"/>
          </w:tcPr>
          <w:p w:rsidR="00D843FD" w:rsidRDefault="00944ED2" w:rsidP="00D843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2-5</w:t>
            </w:r>
            <w:r w:rsidR="00D17D57">
              <w:rPr>
                <w:color w:val="000000"/>
                <w:sz w:val="20"/>
                <w:szCs w:val="20"/>
              </w:rPr>
              <w:t xml:space="preserve"> days</w:t>
            </w:r>
          </w:p>
          <w:p w:rsidR="00944ED2" w:rsidRDefault="00944ED2" w:rsidP="00D843FD">
            <w:pPr>
              <w:rPr>
                <w:color w:val="000000"/>
                <w:sz w:val="20"/>
                <w:szCs w:val="20"/>
              </w:rPr>
            </w:pPr>
          </w:p>
          <w:p w:rsidR="00944ED2" w:rsidRDefault="00944ED2" w:rsidP="00D843FD">
            <w:pPr>
              <w:rPr>
                <w:color w:val="000000"/>
                <w:sz w:val="20"/>
                <w:szCs w:val="20"/>
              </w:rPr>
            </w:pPr>
          </w:p>
          <w:p w:rsidR="00944ED2" w:rsidRDefault="00944ED2" w:rsidP="00D843FD">
            <w:pPr>
              <w:rPr>
                <w:color w:val="000000"/>
                <w:sz w:val="20"/>
                <w:szCs w:val="20"/>
              </w:rPr>
            </w:pPr>
          </w:p>
          <w:p w:rsidR="00944ED2" w:rsidRDefault="00944ED2" w:rsidP="00D843FD">
            <w:pPr>
              <w:rPr>
                <w:color w:val="000000"/>
                <w:sz w:val="20"/>
                <w:szCs w:val="20"/>
              </w:rPr>
            </w:pPr>
          </w:p>
          <w:p w:rsidR="00944ED2" w:rsidRDefault="00944ED2" w:rsidP="00D843FD">
            <w:pPr>
              <w:rPr>
                <w:color w:val="000000"/>
                <w:sz w:val="20"/>
                <w:szCs w:val="20"/>
              </w:rPr>
            </w:pPr>
          </w:p>
          <w:p w:rsidR="00944ED2" w:rsidRDefault="00944ED2" w:rsidP="00D843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days</w:t>
            </w:r>
          </w:p>
        </w:tc>
      </w:tr>
      <w:tr w:rsidR="00D843FD" w:rsidRPr="00B74103" w:rsidTr="00F0309C">
        <w:tc>
          <w:tcPr>
            <w:tcW w:w="817" w:type="dxa"/>
          </w:tcPr>
          <w:p w:rsidR="00D843FD" w:rsidRDefault="001C4F4C" w:rsidP="00D8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</w:t>
            </w:r>
          </w:p>
        </w:tc>
        <w:tc>
          <w:tcPr>
            <w:tcW w:w="1588" w:type="dxa"/>
          </w:tcPr>
          <w:p w:rsidR="00D843FD" w:rsidRDefault="00991764" w:rsidP="00D843FD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Process / </w:t>
            </w:r>
            <w:r>
              <w:rPr>
                <w:bCs/>
                <w:color w:val="000000"/>
                <w:sz w:val="20"/>
                <w:szCs w:val="20"/>
              </w:rPr>
              <w:lastRenderedPageBreak/>
              <w:t>Communication</w:t>
            </w:r>
          </w:p>
        </w:tc>
        <w:tc>
          <w:tcPr>
            <w:tcW w:w="6492" w:type="dxa"/>
          </w:tcPr>
          <w:p w:rsidR="00A53708" w:rsidRDefault="00991764" w:rsidP="00A5370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Following completion of Actions 3&amp;4, Service Delivery to continue with </w:t>
            </w:r>
            <w:r>
              <w:rPr>
                <w:color w:val="000000"/>
                <w:sz w:val="20"/>
                <w:szCs w:val="20"/>
              </w:rPr>
              <w:lastRenderedPageBreak/>
              <w:t xml:space="preserve">communication to encourage students to reset passwords. </w:t>
            </w:r>
            <w:r>
              <w:rPr>
                <w:color w:val="000000"/>
                <w:sz w:val="20"/>
                <w:szCs w:val="20"/>
              </w:rPr>
              <w:br/>
              <w:t>With a view that this will ramp up towards the summer break and an enforced password change on 1</w:t>
            </w:r>
            <w:r w:rsidRPr="00991764">
              <w:rPr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color w:val="000000"/>
                <w:sz w:val="20"/>
                <w:szCs w:val="20"/>
              </w:rPr>
              <w:t xml:space="preserve"> August 2016 for students who will return as 3</w:t>
            </w:r>
            <w:r w:rsidRPr="00991764">
              <w:rPr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color w:val="000000"/>
                <w:sz w:val="20"/>
                <w:szCs w:val="20"/>
              </w:rPr>
              <w:t xml:space="preserve"> Year in September 2016.</w:t>
            </w:r>
            <w:r w:rsidR="00A53708">
              <w:rPr>
                <w:color w:val="000000"/>
                <w:sz w:val="20"/>
                <w:szCs w:val="20"/>
              </w:rPr>
              <w:t xml:space="preserve"> </w:t>
            </w:r>
            <w:r w:rsidR="00375ADE">
              <w:rPr>
                <w:color w:val="000000"/>
                <w:sz w:val="20"/>
                <w:szCs w:val="20"/>
              </w:rPr>
              <w:br/>
              <w:t>Communications to include</w:t>
            </w:r>
          </w:p>
          <w:p w:rsidR="00A53708" w:rsidRPr="00375ADE" w:rsidRDefault="00A53708" w:rsidP="00375ADE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0"/>
                <w:szCs w:val="20"/>
              </w:rPr>
            </w:pPr>
            <w:r w:rsidRPr="00375ADE">
              <w:rPr>
                <w:color w:val="000000"/>
                <w:sz w:val="20"/>
                <w:szCs w:val="20"/>
              </w:rPr>
              <w:t>Update Screen Pop-Up</w:t>
            </w:r>
          </w:p>
          <w:p w:rsidR="00A53708" w:rsidRPr="00375ADE" w:rsidRDefault="00DE4857" w:rsidP="00375ADE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Email and Student pages updates via</w:t>
            </w:r>
            <w:r w:rsidR="00A53708" w:rsidRPr="00375ADE">
              <w:rPr>
                <w:color w:val="000000"/>
                <w:sz w:val="20"/>
                <w:szCs w:val="20"/>
              </w:rPr>
              <w:t xml:space="preserve"> Student News</w:t>
            </w:r>
          </w:p>
          <w:p w:rsidR="00A53708" w:rsidRPr="00375ADE" w:rsidRDefault="00375ADE" w:rsidP="00375ADE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0"/>
                <w:szCs w:val="20"/>
              </w:rPr>
            </w:pPr>
            <w:r w:rsidRPr="00375ADE">
              <w:rPr>
                <w:color w:val="000000"/>
                <w:sz w:val="20"/>
                <w:szCs w:val="20"/>
              </w:rPr>
              <w:t>Talk to School Ops managers for local cascade.</w:t>
            </w:r>
          </w:p>
        </w:tc>
        <w:tc>
          <w:tcPr>
            <w:tcW w:w="1163" w:type="dxa"/>
          </w:tcPr>
          <w:p w:rsidR="00D843FD" w:rsidRDefault="00991764" w:rsidP="00D8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</w:t>
            </w:r>
          </w:p>
        </w:tc>
        <w:tc>
          <w:tcPr>
            <w:tcW w:w="2484" w:type="dxa"/>
          </w:tcPr>
          <w:p w:rsidR="00D843FD" w:rsidRDefault="00D843FD" w:rsidP="00D843F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</w:tcPr>
          <w:p w:rsidR="00D843FD" w:rsidRDefault="00D843FD" w:rsidP="00D843FD">
            <w:pPr>
              <w:rPr>
                <w:sz w:val="20"/>
                <w:szCs w:val="20"/>
              </w:rPr>
            </w:pPr>
          </w:p>
        </w:tc>
      </w:tr>
      <w:tr w:rsidR="00D843FD" w:rsidRPr="00B74103" w:rsidTr="00F0309C">
        <w:tc>
          <w:tcPr>
            <w:tcW w:w="817" w:type="dxa"/>
          </w:tcPr>
          <w:p w:rsidR="00D843FD" w:rsidRDefault="00991764" w:rsidP="00D8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6)</w:t>
            </w:r>
          </w:p>
        </w:tc>
        <w:tc>
          <w:tcPr>
            <w:tcW w:w="1588" w:type="dxa"/>
          </w:tcPr>
          <w:p w:rsidR="00D843FD" w:rsidRDefault="00991764" w:rsidP="00D843FD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AD/AccMan</w:t>
            </w:r>
          </w:p>
        </w:tc>
        <w:tc>
          <w:tcPr>
            <w:tcW w:w="6492" w:type="dxa"/>
          </w:tcPr>
          <w:p w:rsidR="00D843FD" w:rsidRDefault="00991764" w:rsidP="00D73F6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Identify cohort of students who will return as 3</w:t>
            </w:r>
            <w:r w:rsidRPr="00991764">
              <w:rPr>
                <w:color w:val="000000"/>
                <w:sz w:val="20"/>
                <w:szCs w:val="20"/>
                <w:vertAlign w:val="superscript"/>
              </w:rPr>
              <w:t>rd</w:t>
            </w:r>
            <w:r w:rsidR="00D73F6E">
              <w:rPr>
                <w:color w:val="000000"/>
                <w:sz w:val="20"/>
                <w:szCs w:val="20"/>
              </w:rPr>
              <w:t xml:space="preserve"> year in September 2016, and who are not subject to complex policy and ageing rules. </w:t>
            </w:r>
            <w:r w:rsidR="00D73F6E">
              <w:rPr>
                <w:color w:val="000000"/>
                <w:sz w:val="20"/>
                <w:szCs w:val="20"/>
              </w:rPr>
              <w:br/>
              <w:t xml:space="preserve">With a view to adding them on mass or on a phased basis to the AD group created in Action 1. </w:t>
            </w:r>
          </w:p>
        </w:tc>
        <w:tc>
          <w:tcPr>
            <w:tcW w:w="1163" w:type="dxa"/>
          </w:tcPr>
          <w:p w:rsidR="00D843FD" w:rsidRDefault="00991764" w:rsidP="009917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tbc</w:t>
            </w:r>
          </w:p>
        </w:tc>
        <w:tc>
          <w:tcPr>
            <w:tcW w:w="2484" w:type="dxa"/>
          </w:tcPr>
          <w:p w:rsidR="00D843FD" w:rsidRDefault="000F6F20" w:rsidP="000F6F2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Possibly one-off SQL/PowerShell scr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ipt.</w:t>
            </w:r>
          </w:p>
        </w:tc>
        <w:tc>
          <w:tcPr>
            <w:tcW w:w="1247" w:type="dxa"/>
          </w:tcPr>
          <w:p w:rsidR="00D843FD" w:rsidRDefault="00D843FD" w:rsidP="00D843FD">
            <w:pPr>
              <w:rPr>
                <w:sz w:val="20"/>
                <w:szCs w:val="20"/>
              </w:rPr>
            </w:pPr>
          </w:p>
        </w:tc>
      </w:tr>
      <w:tr w:rsidR="00D843FD" w:rsidRPr="00B74103" w:rsidTr="00F0309C">
        <w:tc>
          <w:tcPr>
            <w:tcW w:w="817" w:type="dxa"/>
            <w:tcBorders>
              <w:bottom w:val="single" w:sz="4" w:space="0" w:color="auto"/>
            </w:tcBorders>
          </w:tcPr>
          <w:p w:rsidR="00D843FD" w:rsidRDefault="00DE4857" w:rsidP="00D8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:rsidR="00D843FD" w:rsidRDefault="00DE4857" w:rsidP="00D843FD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AD</w:t>
            </w:r>
          </w:p>
        </w:tc>
        <w:tc>
          <w:tcPr>
            <w:tcW w:w="6492" w:type="dxa"/>
            <w:tcBorders>
              <w:bottom w:val="single" w:sz="4" w:space="0" w:color="auto"/>
            </w:tcBorders>
          </w:tcPr>
          <w:p w:rsidR="00D843FD" w:rsidRDefault="00DE4857" w:rsidP="00DE485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Identify cohort of returning 2</w:t>
            </w:r>
            <w:r w:rsidRPr="00DE4857">
              <w:rPr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color w:val="000000"/>
                <w:sz w:val="20"/>
                <w:szCs w:val="20"/>
              </w:rPr>
              <w:t xml:space="preserve"> year students who do not have ageing rules in place. Introduce ageing on following completion of Registration on a phased basis.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D843FD" w:rsidRDefault="00DE4857" w:rsidP="00D84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TG</w:t>
            </w: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:rsidR="00D843FD" w:rsidRDefault="00D843FD" w:rsidP="00D843F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D843FD" w:rsidRDefault="00D843FD" w:rsidP="00D843FD">
            <w:pPr>
              <w:rPr>
                <w:sz w:val="20"/>
                <w:szCs w:val="20"/>
              </w:rPr>
            </w:pPr>
          </w:p>
        </w:tc>
      </w:tr>
    </w:tbl>
    <w:p w:rsidR="004E2526" w:rsidRDefault="004E2526" w:rsidP="00F40F1C">
      <w:pPr>
        <w:ind w:left="1440" w:hanging="1440"/>
      </w:pPr>
    </w:p>
    <w:p w:rsidR="001A0DF5" w:rsidRPr="00F40F1C" w:rsidRDefault="001A0DF5" w:rsidP="00F40F1C">
      <w:pPr>
        <w:ind w:left="1440" w:hanging="1440"/>
      </w:pPr>
    </w:p>
    <w:sectPr w:rsidR="001A0DF5" w:rsidRPr="00F40F1C" w:rsidSect="004E252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C20" w:rsidRDefault="00832C20" w:rsidP="00F40F1C">
      <w:pPr>
        <w:spacing w:after="0" w:line="240" w:lineRule="auto"/>
      </w:pPr>
      <w:r>
        <w:separator/>
      </w:r>
    </w:p>
  </w:endnote>
  <w:endnote w:type="continuationSeparator" w:id="0">
    <w:p w:rsidR="00832C20" w:rsidRDefault="00832C20" w:rsidP="00F40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C20" w:rsidRDefault="00832C20" w:rsidP="00F40F1C">
      <w:pPr>
        <w:spacing w:after="0" w:line="240" w:lineRule="auto"/>
      </w:pPr>
      <w:r>
        <w:separator/>
      </w:r>
    </w:p>
  </w:footnote>
  <w:footnote w:type="continuationSeparator" w:id="0">
    <w:p w:rsidR="00832C20" w:rsidRDefault="00832C20" w:rsidP="00F40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F1C" w:rsidRPr="00DE4857" w:rsidRDefault="00F40F1C">
    <w:pPr>
      <w:pStyle w:val="Header"/>
      <w:rPr>
        <w:b/>
        <w:sz w:val="24"/>
        <w:u w:val="single"/>
      </w:rPr>
    </w:pPr>
    <w:r w:rsidRPr="00DE4857">
      <w:rPr>
        <w:b/>
        <w:sz w:val="24"/>
        <w:u w:val="single"/>
      </w:rPr>
      <w:t>Student Password Discussion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783C"/>
    <w:multiLevelType w:val="hybridMultilevel"/>
    <w:tmpl w:val="B2B45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13D1A"/>
    <w:multiLevelType w:val="hybridMultilevel"/>
    <w:tmpl w:val="834EBF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4A79E5"/>
    <w:multiLevelType w:val="hybridMultilevel"/>
    <w:tmpl w:val="10E688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F7407E"/>
    <w:multiLevelType w:val="hybridMultilevel"/>
    <w:tmpl w:val="BE1A7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E003A"/>
    <w:multiLevelType w:val="hybridMultilevel"/>
    <w:tmpl w:val="63F87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32C44"/>
    <w:multiLevelType w:val="hybridMultilevel"/>
    <w:tmpl w:val="F0A0C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C1764"/>
    <w:multiLevelType w:val="hybridMultilevel"/>
    <w:tmpl w:val="0D9440B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5660CE"/>
    <w:multiLevelType w:val="hybridMultilevel"/>
    <w:tmpl w:val="81F282E4"/>
    <w:lvl w:ilvl="0" w:tplc="7910D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1C"/>
    <w:rsid w:val="0001114D"/>
    <w:rsid w:val="000B2B2D"/>
    <w:rsid w:val="000C60A0"/>
    <w:rsid w:val="000C75BA"/>
    <w:rsid w:val="000F6F20"/>
    <w:rsid w:val="001A0DF5"/>
    <w:rsid w:val="001C4F4C"/>
    <w:rsid w:val="00362563"/>
    <w:rsid w:val="00375ADE"/>
    <w:rsid w:val="003D0875"/>
    <w:rsid w:val="00454E90"/>
    <w:rsid w:val="004E2526"/>
    <w:rsid w:val="005E511A"/>
    <w:rsid w:val="006460C0"/>
    <w:rsid w:val="006701F1"/>
    <w:rsid w:val="00781F0F"/>
    <w:rsid w:val="00813E74"/>
    <w:rsid w:val="00832C20"/>
    <w:rsid w:val="008921FD"/>
    <w:rsid w:val="008E78FB"/>
    <w:rsid w:val="00944ED2"/>
    <w:rsid w:val="00991764"/>
    <w:rsid w:val="009A452C"/>
    <w:rsid w:val="00A53708"/>
    <w:rsid w:val="00AB32BC"/>
    <w:rsid w:val="00BE0D4B"/>
    <w:rsid w:val="00C425F8"/>
    <w:rsid w:val="00CC4784"/>
    <w:rsid w:val="00D17D57"/>
    <w:rsid w:val="00D323FE"/>
    <w:rsid w:val="00D65916"/>
    <w:rsid w:val="00D73F6E"/>
    <w:rsid w:val="00D843FD"/>
    <w:rsid w:val="00DA2D0B"/>
    <w:rsid w:val="00DE4857"/>
    <w:rsid w:val="00E17E31"/>
    <w:rsid w:val="00EA5EB8"/>
    <w:rsid w:val="00F0309C"/>
    <w:rsid w:val="00F2297C"/>
    <w:rsid w:val="00F4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E7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F1C"/>
  </w:style>
  <w:style w:type="paragraph" w:styleId="Footer">
    <w:name w:val="footer"/>
    <w:basedOn w:val="Normal"/>
    <w:link w:val="FooterChar"/>
    <w:uiPriority w:val="99"/>
    <w:unhideWhenUsed/>
    <w:rsid w:val="00F40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F1C"/>
  </w:style>
  <w:style w:type="paragraph" w:styleId="ListParagraph">
    <w:name w:val="List Paragraph"/>
    <w:basedOn w:val="Normal"/>
    <w:uiPriority w:val="34"/>
    <w:qFormat/>
    <w:rsid w:val="001A0DF5"/>
    <w:pPr>
      <w:ind w:left="720"/>
      <w:contextualSpacing/>
    </w:pPr>
  </w:style>
  <w:style w:type="table" w:styleId="TableGrid">
    <w:name w:val="Table Grid"/>
    <w:basedOn w:val="TableNormal"/>
    <w:uiPriority w:val="59"/>
    <w:rsid w:val="004E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52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3E7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uiPriority w:val="1"/>
    <w:qFormat/>
    <w:rsid w:val="00813E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E7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F1C"/>
  </w:style>
  <w:style w:type="paragraph" w:styleId="Footer">
    <w:name w:val="footer"/>
    <w:basedOn w:val="Normal"/>
    <w:link w:val="FooterChar"/>
    <w:uiPriority w:val="99"/>
    <w:unhideWhenUsed/>
    <w:rsid w:val="00F40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F1C"/>
  </w:style>
  <w:style w:type="paragraph" w:styleId="ListParagraph">
    <w:name w:val="List Paragraph"/>
    <w:basedOn w:val="Normal"/>
    <w:uiPriority w:val="34"/>
    <w:qFormat/>
    <w:rsid w:val="001A0DF5"/>
    <w:pPr>
      <w:ind w:left="720"/>
      <w:contextualSpacing/>
    </w:pPr>
  </w:style>
  <w:style w:type="table" w:styleId="TableGrid">
    <w:name w:val="Table Grid"/>
    <w:basedOn w:val="TableNormal"/>
    <w:uiPriority w:val="59"/>
    <w:rsid w:val="004E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52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3E7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uiPriority w:val="1"/>
    <w:qFormat/>
    <w:rsid w:val="00813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Ogden Stuart Richard</dc:creator>
  <cp:lastModifiedBy>Ahmed Moin</cp:lastModifiedBy>
  <cp:revision>3</cp:revision>
  <dcterms:created xsi:type="dcterms:W3CDTF">2016-04-07T11:11:00Z</dcterms:created>
  <dcterms:modified xsi:type="dcterms:W3CDTF">2016-04-07T11:12:00Z</dcterms:modified>
</cp:coreProperties>
</file>