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38D" w:rsidRPr="009D366E" w:rsidRDefault="0010038D" w:rsidP="0010038D">
      <w:pPr>
        <w:rPr>
          <w:b/>
        </w:rPr>
      </w:pPr>
      <w:r w:rsidRPr="009D366E">
        <w:rPr>
          <w:b/>
        </w:rPr>
        <w:t>República Bolivariana de Venezuela</w:t>
      </w:r>
    </w:p>
    <w:p w:rsidR="0010038D" w:rsidRPr="009D366E" w:rsidRDefault="0010038D" w:rsidP="0010038D">
      <w:pPr>
        <w:rPr>
          <w:b/>
        </w:rPr>
      </w:pPr>
      <w:r w:rsidRPr="009D366E">
        <w:rPr>
          <w:b/>
        </w:rPr>
        <w:t>Universidad de Los Andes</w:t>
      </w:r>
    </w:p>
    <w:p w:rsidR="0010038D" w:rsidRPr="009D366E" w:rsidRDefault="0010038D" w:rsidP="0010038D">
      <w:pPr>
        <w:rPr>
          <w:b/>
        </w:rPr>
      </w:pPr>
      <w:r w:rsidRPr="009D366E">
        <w:rPr>
          <w:b/>
        </w:rPr>
        <w:t>Facultad de Ingeniería</w:t>
      </w:r>
    </w:p>
    <w:p w:rsidR="0010038D" w:rsidRPr="009D366E" w:rsidRDefault="0010038D" w:rsidP="0010038D">
      <w:pPr>
        <w:rPr>
          <w:b/>
        </w:rPr>
      </w:pPr>
      <w:r w:rsidRPr="009D366E">
        <w:rPr>
          <w:b/>
        </w:rPr>
        <w:t>Escuela de Ingeniería de Sistemas</w:t>
      </w:r>
    </w:p>
    <w:p w:rsidR="0010038D" w:rsidRDefault="0010038D" w:rsidP="0010038D">
      <w:pPr>
        <w:rPr>
          <w:b/>
        </w:rPr>
      </w:pPr>
      <w:r w:rsidRPr="009D366E">
        <w:rPr>
          <w:b/>
        </w:rPr>
        <w:t>Departamento de Automatización y Control</w:t>
      </w:r>
    </w:p>
    <w:p w:rsidR="00532C16" w:rsidRPr="009D366E" w:rsidRDefault="00532C16" w:rsidP="0010038D">
      <w:pPr>
        <w:rPr>
          <w:b/>
        </w:rPr>
      </w:pPr>
      <w:r>
        <w:rPr>
          <w:b/>
        </w:rPr>
        <w:t>Instrumentación 2</w:t>
      </w: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Pr="009D366E" w:rsidRDefault="0010038D" w:rsidP="0010038D">
      <w:pPr>
        <w:rPr>
          <w:b/>
        </w:rPr>
      </w:pPr>
    </w:p>
    <w:p w:rsidR="0010038D" w:rsidRDefault="0010038D" w:rsidP="0010038D">
      <w:pPr>
        <w:rPr>
          <w:b/>
        </w:rPr>
      </w:pPr>
      <w:r>
        <w:rPr>
          <w:b/>
        </w:rPr>
        <w:tab/>
      </w:r>
      <w:r>
        <w:rPr>
          <w:b/>
        </w:rPr>
        <w:tab/>
      </w:r>
      <w:r>
        <w:rPr>
          <w:b/>
        </w:rPr>
        <w:tab/>
      </w:r>
      <w:r>
        <w:rPr>
          <w:b/>
        </w:rPr>
        <w:tab/>
      </w:r>
      <w:r>
        <w:rPr>
          <w:b/>
        </w:rPr>
        <w:tab/>
      </w:r>
      <w:r>
        <w:rPr>
          <w:b/>
        </w:rPr>
        <w:tab/>
      </w:r>
      <w:r>
        <w:rPr>
          <w:b/>
        </w:rPr>
        <w:tab/>
      </w:r>
      <w:r>
        <w:rPr>
          <w:b/>
        </w:rPr>
        <w:tab/>
        <w:t xml:space="preserve">Arturo  CI: </w:t>
      </w:r>
    </w:p>
    <w:p w:rsidR="0010038D" w:rsidRDefault="0010038D" w:rsidP="0010038D">
      <w:pPr>
        <w:ind w:left="5664"/>
        <w:rPr>
          <w:b/>
        </w:rPr>
      </w:pPr>
      <w:r>
        <w:rPr>
          <w:b/>
        </w:rPr>
        <w:t>Luz Espinoza  CI</w:t>
      </w:r>
      <w:proofErr w:type="gramStart"/>
      <w:r>
        <w:rPr>
          <w:b/>
        </w:rPr>
        <w:t>:19146330</w:t>
      </w:r>
      <w:proofErr w:type="gramEnd"/>
      <w:r>
        <w:rPr>
          <w:b/>
        </w:rPr>
        <w:t>.</w:t>
      </w:r>
    </w:p>
    <w:p w:rsidR="0010038D" w:rsidRDefault="0010038D" w:rsidP="0010038D">
      <w:pPr>
        <w:rPr>
          <w:b/>
        </w:rPr>
      </w:pPr>
    </w:p>
    <w:p w:rsidR="00AF54CB" w:rsidRDefault="00AF54CB" w:rsidP="0010038D">
      <w:pPr>
        <w:rPr>
          <w:b/>
        </w:rPr>
      </w:pPr>
    </w:p>
    <w:p w:rsidR="0010038D" w:rsidRDefault="0010038D" w:rsidP="0010038D">
      <w:pPr>
        <w:rPr>
          <w:b/>
        </w:rPr>
      </w:pPr>
      <w:r>
        <w:rPr>
          <w:b/>
        </w:rPr>
        <w:t>Mérida, junio de 2018</w:t>
      </w:r>
      <w:r w:rsidRPr="009D366E">
        <w:rPr>
          <w:b/>
        </w:rPr>
        <w:t>.</w:t>
      </w:r>
    </w:p>
    <w:p w:rsidR="0010038D" w:rsidRPr="00EB64CC" w:rsidRDefault="0010038D" w:rsidP="0010038D">
      <w:pPr>
        <w:rPr>
          <w:b/>
        </w:rPr>
      </w:pPr>
      <w:r w:rsidRPr="00EB64CC">
        <w:rPr>
          <w:b/>
        </w:rPr>
        <w:lastRenderedPageBreak/>
        <w:t>Planteamiento del problema.</w:t>
      </w:r>
    </w:p>
    <w:p w:rsidR="00A33DB8" w:rsidRDefault="0010038D">
      <w:r>
        <w:t>Consiste en la selección de la instrumentación necesaria para implementar un sistema de dotación de agua, para una edificación residencial. El edificio está compuesto por diez pisos, un apartamento por piso, cada apartamento compuesto por: un baño, una cocina</w:t>
      </w:r>
      <w:r w:rsidR="00BE3677">
        <w:t xml:space="preserve"> y tres habitaciones. Para la escogencia de los equipos nos guiamos bajo las normas COVENIN, específicamente las normas 4044</w:t>
      </w:r>
      <w:r w:rsidR="00FD6CCD">
        <w:t xml:space="preserve"> y el Código Eléctrico Nacional (FONDONORMA 200). En este caso la dotación de agua será proporcionada por uno de los sistemas descritos en la norma 4044, art 153, parte b.</w:t>
      </w:r>
    </w:p>
    <w:p w:rsidR="00434C5C" w:rsidRDefault="00434C5C"/>
    <w:p w:rsidR="00FD6CCD" w:rsidRDefault="00FD6CCD" w:rsidP="00FD6CCD">
      <w:pPr>
        <w:rPr>
          <w:b/>
        </w:rPr>
      </w:pPr>
      <w:r>
        <w:rPr>
          <w:b/>
        </w:rPr>
        <w:t xml:space="preserve">Descripción del sistema tanque </w:t>
      </w:r>
      <w:proofErr w:type="spellStart"/>
      <w:r>
        <w:rPr>
          <w:b/>
        </w:rPr>
        <w:t>tanque</w:t>
      </w:r>
      <w:proofErr w:type="spellEnd"/>
      <w:r>
        <w:rPr>
          <w:b/>
        </w:rPr>
        <w:t>.</w:t>
      </w:r>
    </w:p>
    <w:p w:rsidR="00434C5C" w:rsidRDefault="00434C5C" w:rsidP="00FD6CCD">
      <w:r>
        <w:t>El sistema está compuesto por dos depósitos, uno bajo y otro elevado. El tanque bajo capta el flujo  proveniente del servicio público de agua potable y por medio de un sistema de bombeo, se hace llegar el al tanque elevado. Para que el sistema trabaje de una manera adecuada, se deben cumplir los siguientes requerimientos:</w:t>
      </w:r>
    </w:p>
    <w:p w:rsidR="00434C5C" w:rsidRDefault="00434C5C" w:rsidP="00434C5C">
      <w:pPr>
        <w:pStyle w:val="Prrafodelista"/>
        <w:numPr>
          <w:ilvl w:val="0"/>
          <w:numId w:val="1"/>
        </w:numPr>
      </w:pPr>
      <w:r>
        <w:t>El tanque bajo debe mantener entre un rango de nivel de agua, el cual no permita que el tanque se vacíe pero tampoco se desborde.</w:t>
      </w:r>
    </w:p>
    <w:p w:rsidR="00434C5C" w:rsidRDefault="00434C5C" w:rsidP="00434C5C">
      <w:pPr>
        <w:pStyle w:val="Prrafodelista"/>
        <w:numPr>
          <w:ilvl w:val="0"/>
          <w:numId w:val="1"/>
        </w:numPr>
      </w:pPr>
      <w:r>
        <w:t>El tanque elevado, debe mantener un nivel de agua el cual garantice la demanda permanente de los usuarios, pero que a la vez no se desborde el mismo.</w:t>
      </w:r>
    </w:p>
    <w:p w:rsidR="00DA28F4" w:rsidRDefault="00DA28F4" w:rsidP="00434C5C">
      <w:pPr>
        <w:pStyle w:val="Prrafodelista"/>
        <w:numPr>
          <w:ilvl w:val="0"/>
          <w:numId w:val="1"/>
        </w:numPr>
      </w:pPr>
      <w:r>
        <w:t>El uso de sensores adecuados a los requisitos descritos, estos sensores detectaran los niveles de agua críticos en ambos tanques, que activaran o desactivaran el sistema de bombeo.</w:t>
      </w:r>
    </w:p>
    <w:p w:rsidR="00434C5C" w:rsidRDefault="00DA28F4" w:rsidP="00434C5C">
      <w:pPr>
        <w:pStyle w:val="Prrafodelista"/>
        <w:numPr>
          <w:ilvl w:val="0"/>
          <w:numId w:val="1"/>
        </w:numPr>
      </w:pPr>
      <w:r>
        <w:t>Para prolongar la vida útil del sistema de bombeo y garantizar la dotación continua, el art 201 recomienda el uso de dos bombas, que trabajen de forma alterna.</w:t>
      </w:r>
      <w:r w:rsidR="00434C5C">
        <w:t xml:space="preserve"> </w:t>
      </w:r>
    </w:p>
    <w:p w:rsidR="00F33B7D" w:rsidRPr="00732F4D" w:rsidRDefault="00F33B7D" w:rsidP="00732F4D">
      <w:pPr>
        <w:ind w:left="360"/>
        <w:rPr>
          <w:b/>
        </w:rPr>
      </w:pPr>
    </w:p>
    <w:p w:rsidR="00DA28F4" w:rsidRDefault="00F33B7D" w:rsidP="00DA28F4">
      <w:pPr>
        <w:rPr>
          <w:b/>
        </w:rPr>
      </w:pPr>
      <w:r w:rsidRPr="00F33B7D">
        <w:rPr>
          <w:b/>
        </w:rPr>
        <w:t>Estimación de la dotación de agua</w:t>
      </w:r>
      <w:r>
        <w:rPr>
          <w:b/>
        </w:rPr>
        <w:t>.</w:t>
      </w:r>
    </w:p>
    <w:p w:rsidR="00F33B7D" w:rsidRDefault="00F33B7D" w:rsidP="00DA28F4">
      <w:r>
        <w:t>Según el artículo 109, para un apartamento con: 1 cocina, 1 baño y 3 habitaciones, la dotación diaria es de 1200 litros por día, quiere decir que para el edificio completo la dotación será:</w:t>
      </w:r>
    </w:p>
    <w:p w:rsidR="00F33B7D" w:rsidRPr="00F33B7D" w:rsidRDefault="00F33B7D" w:rsidP="00F33B7D">
      <w:pPr>
        <w:rPr>
          <w:rFonts w:eastAsiaTheme="minorEastAsia"/>
        </w:rPr>
      </w:pPr>
      <m:oMathPara>
        <m:oMathParaPr>
          <m:jc m:val="left"/>
        </m:oMathParaPr>
        <m:oMath>
          <m:r>
            <w:rPr>
              <w:rFonts w:ascii="Cambria Math" w:hAnsi="Cambria Math"/>
            </w:rPr>
            <m:t>Dd=</m:t>
          </m:r>
          <m:f>
            <m:fPr>
              <m:ctrlPr>
                <w:rPr>
                  <w:rFonts w:ascii="Cambria Math" w:hAnsi="Cambria Math"/>
                  <w:i/>
                </w:rPr>
              </m:ctrlPr>
            </m:fPr>
            <m:num>
              <m:r>
                <w:rPr>
                  <w:rFonts w:ascii="Cambria Math" w:hAnsi="Cambria Math"/>
                </w:rPr>
                <m:t>1200L</m:t>
              </m:r>
            </m:num>
            <m:den>
              <m:r>
                <w:rPr>
                  <w:rFonts w:ascii="Cambria Math" w:hAnsi="Cambria Math"/>
                </w:rPr>
                <m:t>día</m:t>
              </m:r>
            </m:den>
          </m:f>
          <m:r>
            <w:rPr>
              <w:rFonts w:ascii="Cambria Math" w:hAnsi="Cambria Math"/>
            </w:rPr>
            <m:t>x10=12000</m:t>
          </m:r>
          <m:f>
            <m:fPr>
              <m:ctrlPr>
                <w:rPr>
                  <w:rFonts w:ascii="Cambria Math" w:hAnsi="Cambria Math"/>
                  <w:i/>
                </w:rPr>
              </m:ctrlPr>
            </m:fPr>
            <m:num>
              <m:r>
                <w:rPr>
                  <w:rFonts w:ascii="Cambria Math" w:hAnsi="Cambria Math"/>
                </w:rPr>
                <m:t>L</m:t>
              </m:r>
            </m:num>
            <m:den>
              <m:r>
                <w:rPr>
                  <w:rFonts w:ascii="Cambria Math" w:hAnsi="Cambria Math"/>
                </w:rPr>
                <m:t>día</m:t>
              </m:r>
            </m:den>
          </m:f>
        </m:oMath>
      </m:oMathPara>
    </w:p>
    <w:p w:rsidR="00F33B7D" w:rsidRDefault="00F33B7D" w:rsidP="00F33B7D">
      <w:pPr>
        <w:rPr>
          <w:rFonts w:eastAsiaTheme="minorEastAsia"/>
        </w:rPr>
      </w:pPr>
    </w:p>
    <w:p w:rsidR="00F33B7D" w:rsidRDefault="00F33B7D" w:rsidP="00F33B7D">
      <w:pPr>
        <w:rPr>
          <w:rFonts w:eastAsiaTheme="minorEastAsia"/>
          <w:b/>
        </w:rPr>
      </w:pPr>
      <w:r w:rsidRPr="00F33B7D">
        <w:rPr>
          <w:rFonts w:eastAsiaTheme="minorEastAsia"/>
          <w:b/>
        </w:rPr>
        <w:t>Dimensiones de los depósitos.</w:t>
      </w:r>
    </w:p>
    <w:p w:rsidR="00F33B7D" w:rsidRDefault="00F33B7D" w:rsidP="00F33B7D">
      <w:pPr>
        <w:rPr>
          <w:rFonts w:eastAsiaTheme="minorEastAsia"/>
        </w:rPr>
      </w:pPr>
      <w:r>
        <w:rPr>
          <w:rFonts w:eastAsiaTheme="minorEastAsia"/>
        </w:rPr>
        <w:t>El artículo 161 de la 4044, describe que las dimensiones de los estanques deben cumplir con los siguientes requisitos:</w:t>
      </w:r>
    </w:p>
    <w:p w:rsidR="00F33B7D" w:rsidRPr="00DA4CE0" w:rsidRDefault="00F33B7D" w:rsidP="00F33B7D">
      <w:pPr>
        <w:pStyle w:val="Prrafodelista"/>
        <w:numPr>
          <w:ilvl w:val="0"/>
          <w:numId w:val="2"/>
        </w:numPr>
        <w:rPr>
          <w:rFonts w:eastAsiaTheme="minorEastAsia"/>
        </w:rPr>
      </w:pPr>
      <w:r>
        <w:rPr>
          <w:rFonts w:eastAsiaTheme="minorEastAsia"/>
        </w:rPr>
        <w:t xml:space="preserve">El depósito bajo debe tener una capacidad de almacenamiento </w:t>
      </w:r>
      <w:r w:rsidR="00DA4CE0">
        <w:rPr>
          <w:rFonts w:eastAsiaTheme="minorEastAsia"/>
        </w:rPr>
        <w:t>mayor o igual a 2/3 de la dotación diaria.</w:t>
      </w:r>
    </w:p>
    <w:p w:rsidR="00DA4CE0" w:rsidRPr="00DA4CE0" w:rsidRDefault="00DA4CE0" w:rsidP="00F33B7D">
      <w:pPr>
        <w:pStyle w:val="Prrafodelista"/>
        <w:numPr>
          <w:ilvl w:val="0"/>
          <w:numId w:val="2"/>
        </w:numPr>
        <w:rPr>
          <w:rFonts w:eastAsiaTheme="minorEastAsia"/>
        </w:rPr>
      </w:pPr>
      <w:r>
        <w:rPr>
          <w:rFonts w:eastAsiaTheme="minorEastAsia"/>
        </w:rPr>
        <w:t>El depósito elevado debe tener una capacidad de almacenamiento mayor o igual a 1/3 de la dotación diaria.</w:t>
      </w:r>
    </w:p>
    <w:p w:rsidR="00DA4CE0" w:rsidRDefault="00DA4CE0" w:rsidP="00DA4CE0">
      <w:pPr>
        <w:rPr>
          <w:rFonts w:eastAsiaTheme="minorEastAsia"/>
        </w:rPr>
      </w:pPr>
      <w:r>
        <w:rPr>
          <w:rFonts w:eastAsiaTheme="minorEastAsia"/>
        </w:rPr>
        <w:lastRenderedPageBreak/>
        <w:t xml:space="preserve">Bajo estos requisitos, hemos elegido para el tanque bajo una capacidad de </w:t>
      </w:r>
      <w:r w:rsidR="00D734AB">
        <w:rPr>
          <w:rFonts w:eastAsiaTheme="minorEastAsia"/>
        </w:rPr>
        <w:t>9000 litros con dimensiones: 2m de alto, 1,5m de ancho y 3m de profundidad; para el tanque elevado escogimos una capacidad de 6000 litros con dimensiones: 2m de alto, 1,5m de ancho y 2m de profundidad.</w:t>
      </w:r>
    </w:p>
    <w:p w:rsidR="00D734AB" w:rsidRDefault="00D734AB" w:rsidP="00DA4CE0">
      <w:pPr>
        <w:rPr>
          <w:rFonts w:eastAsiaTheme="minorEastAsia"/>
        </w:rPr>
      </w:pPr>
      <w:r>
        <w:rPr>
          <w:rFonts w:eastAsiaTheme="minorEastAsia"/>
        </w:rPr>
        <w:t>Para la construcción y ubicación de los depósitos, consultamos los artículos 157, 164, 165 y 167 que describen los requerimientos a cumplir.</w:t>
      </w:r>
    </w:p>
    <w:p w:rsidR="00D734AB" w:rsidRDefault="00D734AB" w:rsidP="00DA4CE0">
      <w:pPr>
        <w:rPr>
          <w:rFonts w:eastAsiaTheme="minorEastAsia"/>
        </w:rPr>
      </w:pPr>
    </w:p>
    <w:p w:rsidR="00D734AB" w:rsidRDefault="00D734AB" w:rsidP="00DA4CE0">
      <w:pPr>
        <w:rPr>
          <w:rFonts w:eastAsiaTheme="minorEastAsia"/>
          <w:b/>
        </w:rPr>
      </w:pPr>
      <w:r w:rsidRPr="00D734AB">
        <w:rPr>
          <w:rFonts w:eastAsiaTheme="minorEastAsia"/>
          <w:b/>
        </w:rPr>
        <w:t>Elección de la bomba.</w:t>
      </w:r>
    </w:p>
    <w:p w:rsidR="00D734AB" w:rsidRDefault="009340DD" w:rsidP="00DA4CE0">
      <w:pPr>
        <w:rPr>
          <w:rFonts w:eastAsiaTheme="minorEastAsia"/>
        </w:rPr>
      </w:pPr>
      <w:r>
        <w:rPr>
          <w:rFonts w:eastAsiaTheme="minorEastAsia"/>
        </w:rPr>
        <w:t>El art 183 de la 4044, recomiendo el uso de bombas centrifugas. La potencia que requiere la bomba del sistema se calcula con la siguiente relación:</w:t>
      </w:r>
    </w:p>
    <w:p w:rsidR="009340DD" w:rsidRPr="009340DD" w:rsidRDefault="009340DD" w:rsidP="009340DD">
      <w:pPr>
        <w:spacing w:after="0"/>
        <w:jc w:val="center"/>
        <w:rPr>
          <w:rFonts w:ascii="Arial" w:eastAsiaTheme="minorEastAsia" w:hAnsi="Arial" w:cs="Arial"/>
          <w:sz w:val="28"/>
          <w:szCs w:val="24"/>
        </w:rPr>
      </w:pPr>
      <m:oMathPara>
        <m:oMathParaPr>
          <m:jc m:val="left"/>
        </m:oMathParaPr>
        <m:oMath>
          <m:r>
            <w:rPr>
              <w:rFonts w:ascii="Cambria Math" w:hAnsi="Cambria Math" w:cs="Arial"/>
              <w:sz w:val="28"/>
              <w:szCs w:val="24"/>
            </w:rPr>
            <m:t xml:space="preserve">HP= </m:t>
          </m:r>
          <m:f>
            <m:fPr>
              <m:ctrlPr>
                <w:rPr>
                  <w:rFonts w:ascii="Cambria Math" w:hAnsi="Cambria Math" w:cs="Arial"/>
                  <w:i/>
                  <w:sz w:val="28"/>
                  <w:szCs w:val="24"/>
                </w:rPr>
              </m:ctrlPr>
            </m:fPr>
            <m:num>
              <m:r>
                <w:rPr>
                  <w:rFonts w:ascii="Cambria Math" w:hAnsi="Cambria Math" w:cs="Arial"/>
                  <w:sz w:val="28"/>
                  <w:szCs w:val="24"/>
                </w:rPr>
                <m:t>QxH</m:t>
              </m:r>
            </m:num>
            <m:den>
              <m:r>
                <w:rPr>
                  <w:rFonts w:ascii="Cambria Math" w:hAnsi="Cambria Math" w:cs="Arial"/>
                  <w:sz w:val="28"/>
                  <w:szCs w:val="24"/>
                </w:rPr>
                <m:t>45</m:t>
              </m:r>
            </m:den>
          </m:f>
        </m:oMath>
      </m:oMathPara>
    </w:p>
    <w:p w:rsidR="009340DD" w:rsidRPr="009340DD" w:rsidRDefault="009340DD" w:rsidP="009340DD">
      <w:pPr>
        <w:spacing w:after="0"/>
        <w:rPr>
          <w:rFonts w:ascii="Arial" w:eastAsiaTheme="minorEastAsia" w:hAnsi="Arial" w:cs="Arial"/>
          <w:sz w:val="28"/>
          <w:szCs w:val="24"/>
        </w:rPr>
      </w:pPr>
    </w:p>
    <w:p w:rsidR="009340DD" w:rsidRDefault="009340DD" w:rsidP="00DA4CE0">
      <w:pPr>
        <w:rPr>
          <w:rFonts w:eastAsiaTheme="minorEastAsia"/>
        </w:rPr>
      </w:pPr>
      <w:r>
        <w:rPr>
          <w:rFonts w:eastAsiaTheme="minorEastAsia"/>
        </w:rPr>
        <w:t>Q y H son la capacidad de la bomba y la altura dinámica</w:t>
      </w:r>
      <w:r w:rsidR="00E61C14">
        <w:rPr>
          <w:rFonts w:eastAsiaTheme="minorEastAsia"/>
        </w:rPr>
        <w:t xml:space="preserve"> respectivamente. Para hallar la capacidad de la bomba debemos tomar en cuenta la dotación diaria y el tiempo en el cual se debe llenar el tanque elevado, como se enuncia en el art 171 no debe ser mayor a dos horas. Se calcula mediante la siguiente expresión:</w:t>
      </w:r>
    </w:p>
    <w:p w:rsidR="00E61C14" w:rsidRPr="000B6B9E" w:rsidRDefault="00E61C14" w:rsidP="00E61C14">
      <w:pPr>
        <w:rPr>
          <w:rFonts w:eastAsiaTheme="minorEastAsia"/>
        </w:rPr>
      </w:pPr>
      <m:oMathPara>
        <m:oMathParaPr>
          <m:jc m:val="left"/>
        </m:oMathPara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0,5xDd</m:t>
              </m:r>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0,5x12000</m:t>
              </m:r>
            </m:num>
            <m:den>
              <m:r>
                <w:rPr>
                  <w:rFonts w:ascii="Cambria Math" w:eastAsiaTheme="minorEastAsia" w:hAnsi="Cambria Math"/>
                </w:rPr>
                <m:t>7200 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0,83L</m:t>
              </m:r>
            </m:num>
            <m:den>
              <m:r>
                <w:rPr>
                  <w:rFonts w:ascii="Cambria Math" w:eastAsiaTheme="minorEastAsia" w:hAnsi="Cambria Math"/>
                </w:rPr>
                <m:t>s</m:t>
              </m:r>
            </m:den>
          </m:f>
        </m:oMath>
      </m:oMathPara>
    </w:p>
    <w:p w:rsidR="00D705E4" w:rsidRDefault="000B6B9E" w:rsidP="00E61C14">
      <w:pPr>
        <w:rPr>
          <w:rFonts w:eastAsiaTheme="minorEastAsia"/>
        </w:rPr>
      </w:pPr>
      <w:r>
        <w:rPr>
          <w:rFonts w:eastAsiaTheme="minorEastAsia"/>
        </w:rPr>
        <w:t xml:space="preserve">Para la altura dinámica, debemos tomar en cuenta </w:t>
      </w:r>
      <w:r w:rsidR="00D705E4">
        <w:rPr>
          <w:rFonts w:eastAsiaTheme="minorEastAsia"/>
        </w:rPr>
        <w:t>las alturas de succión e impulsión de la bomba, además de las pérdidas por fricción provenientes de cada pieza de tubería conectada. Viene dada por la siguiente expresión:</w:t>
      </w:r>
    </w:p>
    <w:p w:rsidR="00D705E4" w:rsidRPr="00D705E4" w:rsidRDefault="00D705E4" w:rsidP="00D705E4">
      <w:pPr>
        <w:rPr>
          <w:rFonts w:eastAsiaTheme="minorEastAsia"/>
        </w:rPr>
      </w:pPr>
      <m:oMathPara>
        <m:oMathParaPr>
          <m:jc m:val="left"/>
        </m:oMathParaPr>
        <m:oMath>
          <m:r>
            <w:rPr>
              <w:rFonts w:ascii="Cambria Math" w:eastAsiaTheme="minorEastAsia" w:hAnsi="Cambria Math"/>
            </w:rPr>
            <m:t>H=factor de seguridad x (hs+h+hfs+7)</m:t>
          </m:r>
        </m:oMath>
      </m:oMathPara>
    </w:p>
    <w:p w:rsidR="00D705E4" w:rsidRDefault="00D705E4" w:rsidP="00D705E4">
      <w:pPr>
        <w:rPr>
          <w:rFonts w:eastAsiaTheme="minorEastAsia"/>
        </w:rPr>
      </w:pPr>
      <w:r>
        <w:rPr>
          <w:rFonts w:eastAsiaTheme="minorEastAsia"/>
        </w:rPr>
        <w:t xml:space="preserve">Factor de seguridad= </w:t>
      </w:r>
      <w:r w:rsidRPr="00D705E4">
        <w:rPr>
          <w:rFonts w:eastAsiaTheme="minorEastAsia"/>
        </w:rPr>
        <w:t>es el cociente entre el valor calculado de la capacidad máxima de un sistema y el valor del requerimiento esperado real a que se verá sometido</w:t>
      </w:r>
      <w:r>
        <w:rPr>
          <w:rFonts w:eastAsiaTheme="minorEastAsia"/>
        </w:rPr>
        <w:t>, en este caso su valor puede ir de 1,1 a 1,20</w:t>
      </w:r>
      <w:r w:rsidR="00C274BC">
        <w:rPr>
          <w:rFonts w:eastAsiaTheme="minorEastAsia"/>
        </w:rPr>
        <w:t xml:space="preserve">. </w:t>
      </w:r>
    </w:p>
    <w:p w:rsidR="00D705E4" w:rsidRPr="00D705E4" w:rsidRDefault="00D705E4" w:rsidP="00D705E4">
      <w:pPr>
        <w:rPr>
          <w:rFonts w:eastAsiaTheme="minorEastAsia"/>
        </w:rPr>
      </w:pPr>
      <w:proofErr w:type="spellStart"/>
      <w:r w:rsidRPr="00D705E4">
        <w:rPr>
          <w:rFonts w:eastAsiaTheme="minorEastAsia"/>
        </w:rPr>
        <w:t>hs</w:t>
      </w:r>
      <w:proofErr w:type="spellEnd"/>
      <w:r w:rsidRPr="00D705E4">
        <w:rPr>
          <w:rFonts w:eastAsiaTheme="minorEastAsia"/>
        </w:rPr>
        <w:t>=altura de succión del tanque bajo a la bomba (altura del tanque</w:t>
      </w:r>
      <w:r w:rsidR="00AF2AAE">
        <w:rPr>
          <w:rFonts w:eastAsiaTheme="minorEastAsia"/>
        </w:rPr>
        <w:t xml:space="preserve"> bajo</w:t>
      </w:r>
      <w:r w:rsidRPr="00D705E4">
        <w:rPr>
          <w:rFonts w:eastAsiaTheme="minorEastAsia"/>
        </w:rPr>
        <w:t>).</w:t>
      </w:r>
    </w:p>
    <w:p w:rsidR="00D705E4" w:rsidRPr="00D705E4" w:rsidRDefault="00D705E4" w:rsidP="00D705E4">
      <w:pPr>
        <w:rPr>
          <w:rFonts w:eastAsiaTheme="minorEastAsia"/>
        </w:rPr>
      </w:pPr>
      <w:r w:rsidRPr="00D705E4">
        <w:rPr>
          <w:rFonts w:eastAsiaTheme="minorEastAsia"/>
        </w:rPr>
        <w:t xml:space="preserve">h=altura de impulsión, altura del edificio </w:t>
      </w:r>
      <w:proofErr w:type="spellStart"/>
      <w:r w:rsidRPr="00D705E4">
        <w:rPr>
          <w:rFonts w:eastAsiaTheme="minorEastAsia"/>
        </w:rPr>
        <w:t>mas</w:t>
      </w:r>
      <w:proofErr w:type="spellEnd"/>
      <w:r w:rsidRPr="00D705E4">
        <w:rPr>
          <w:rFonts w:eastAsiaTheme="minorEastAsia"/>
        </w:rPr>
        <w:t xml:space="preserve"> la altura del tanque elevado.</w:t>
      </w:r>
    </w:p>
    <w:p w:rsidR="00D705E4" w:rsidRPr="00D705E4" w:rsidRDefault="00D705E4" w:rsidP="00D705E4">
      <w:pPr>
        <w:rPr>
          <w:rFonts w:eastAsiaTheme="minorEastAsia"/>
        </w:rPr>
      </w:pPr>
      <w:proofErr w:type="spellStart"/>
      <w:proofErr w:type="gramStart"/>
      <w:r w:rsidRPr="00D705E4">
        <w:rPr>
          <w:rFonts w:eastAsiaTheme="minorEastAsia"/>
        </w:rPr>
        <w:t>hfs</w:t>
      </w:r>
      <w:proofErr w:type="spellEnd"/>
      <w:proofErr w:type="gramEnd"/>
      <w:r w:rsidRPr="00D705E4">
        <w:rPr>
          <w:rFonts w:eastAsiaTheme="minorEastAsia"/>
        </w:rPr>
        <w:t xml:space="preserve">=  pérdida por fricción, sumatoria de la pérdida por cada pieza conectada y la distancia de la tubería = </w:t>
      </w:r>
      <w:proofErr w:type="spellStart"/>
      <w:r w:rsidRPr="00D705E4">
        <w:rPr>
          <w:rFonts w:eastAsiaTheme="minorEastAsia"/>
        </w:rPr>
        <w:t>hfs</w:t>
      </w:r>
      <w:proofErr w:type="spellEnd"/>
      <w:r w:rsidRPr="00D705E4">
        <w:rPr>
          <w:rFonts w:eastAsiaTheme="minorEastAsia"/>
        </w:rPr>
        <w:t>(succión)+</w:t>
      </w:r>
      <w:proofErr w:type="spellStart"/>
      <w:r w:rsidRPr="00D705E4">
        <w:rPr>
          <w:rFonts w:eastAsiaTheme="minorEastAsia"/>
        </w:rPr>
        <w:t>hfs</w:t>
      </w:r>
      <w:proofErr w:type="spellEnd"/>
      <w:r w:rsidRPr="00D705E4">
        <w:rPr>
          <w:rFonts w:eastAsiaTheme="minorEastAsia"/>
        </w:rPr>
        <w:t>(impulsión).</w:t>
      </w:r>
    </w:p>
    <w:p w:rsidR="00D705E4" w:rsidRDefault="00D705E4" w:rsidP="00D705E4">
      <w:pPr>
        <w:rPr>
          <w:rFonts w:eastAsiaTheme="minorEastAsia"/>
        </w:rPr>
      </w:pPr>
      <w:r w:rsidRPr="00D705E4">
        <w:rPr>
          <w:rFonts w:eastAsiaTheme="minorEastAsia"/>
        </w:rPr>
        <w:t>7= promedio de la presión en la salida de agua.</w:t>
      </w:r>
    </w:p>
    <w:p w:rsidR="00AF2AAE" w:rsidRDefault="00AF2AAE" w:rsidP="00D705E4">
      <w:pPr>
        <w:rPr>
          <w:rFonts w:eastAsiaTheme="minorEastAsia"/>
        </w:rPr>
      </w:pPr>
      <w:proofErr w:type="spellStart"/>
      <w:r>
        <w:rPr>
          <w:rFonts w:eastAsiaTheme="minorEastAsia"/>
        </w:rPr>
        <w:t>hs</w:t>
      </w:r>
      <w:proofErr w:type="spellEnd"/>
      <w:r>
        <w:rPr>
          <w:rFonts w:eastAsiaTheme="minorEastAsia"/>
        </w:rPr>
        <w:t>= 2m.</w:t>
      </w:r>
    </w:p>
    <w:p w:rsidR="00AF2AAE" w:rsidRPr="00D705E4" w:rsidRDefault="00AF2AAE" w:rsidP="00D705E4">
      <w:pPr>
        <w:rPr>
          <w:rFonts w:eastAsiaTheme="minorEastAsia"/>
        </w:rPr>
      </w:pPr>
      <w:r>
        <w:rPr>
          <w:rFonts w:eastAsiaTheme="minorEastAsia"/>
        </w:rPr>
        <w:t>h= 33m+2m= 35m.</w:t>
      </w:r>
    </w:p>
    <w:p w:rsidR="00C274BC" w:rsidRDefault="00C274BC" w:rsidP="00C274BC">
      <w:proofErr w:type="spellStart"/>
      <w:proofErr w:type="gramStart"/>
      <w:r>
        <w:t>hfs</w:t>
      </w:r>
      <w:proofErr w:type="spellEnd"/>
      <w:proofErr w:type="gramEnd"/>
      <w:r>
        <w:t xml:space="preserve"> succión: 1</w:t>
      </w:r>
      <w:r w:rsidR="008F5374">
        <w:t xml:space="preserve"> m(tubo de 1</w:t>
      </w:r>
      <w:r w:rsidR="008F5374">
        <w:rPr>
          <w:vertAlign w:val="superscript"/>
        </w:rPr>
        <w:t>1/4</w:t>
      </w:r>
      <w:r>
        <w:t xml:space="preserve"> ”)+3 m (válvula de retención)+1,16 m (codo de 90° </w:t>
      </w:r>
      <w:r w:rsidR="008F5374">
        <w:t>1</w:t>
      </w:r>
      <w:r w:rsidR="008F5374">
        <w:rPr>
          <w:vertAlign w:val="superscript"/>
        </w:rPr>
        <w:t>1/4</w:t>
      </w:r>
      <w:r>
        <w:t xml:space="preserve"> ”)=5,16 x0,06 = 0,31m.</w:t>
      </w:r>
    </w:p>
    <w:p w:rsidR="00C274BC" w:rsidRDefault="00C274BC" w:rsidP="00C274BC">
      <w:proofErr w:type="spellStart"/>
      <w:proofErr w:type="gramStart"/>
      <w:r>
        <w:lastRenderedPageBreak/>
        <w:t>hfs</w:t>
      </w:r>
      <w:proofErr w:type="spellEnd"/>
      <w:proofErr w:type="gramEnd"/>
      <w:r>
        <w:t xml:space="preserve"> impulsión: [</w:t>
      </w:r>
      <w:r w:rsidR="001E6EE9">
        <w:t>3x</w:t>
      </w:r>
      <w:r>
        <w:t>0,85m (codo de 90° 1”)</w:t>
      </w:r>
      <w:r w:rsidR="008F5374">
        <w:t>+2m (válvula de retención)+</w:t>
      </w:r>
      <w:r w:rsidR="00B80333">
        <w:t xml:space="preserve"> </w:t>
      </w:r>
      <w:r w:rsidR="001E6EE9">
        <w:t>33</w:t>
      </w:r>
      <w:r w:rsidR="00B80333">
        <w:t>,5</w:t>
      </w:r>
      <w:r w:rsidR="001E6EE9">
        <w:t>m (tubo de 1”)+</w:t>
      </w:r>
      <w:r w:rsidR="001E6EE9" w:rsidRPr="001E6EE9">
        <w:t xml:space="preserve"> </w:t>
      </w:r>
      <w:r w:rsidR="001E6EE9">
        <w:t>0.16 m(válvula de compuerta)</w:t>
      </w:r>
      <w:r>
        <w:t>]</w:t>
      </w:r>
      <w:r w:rsidR="008F5374">
        <w:t>x0,18</w:t>
      </w:r>
      <w:r w:rsidR="001E6EE9">
        <w:t>=6,87m.</w:t>
      </w:r>
    </w:p>
    <w:p w:rsidR="00E61C14" w:rsidRDefault="00C274BC" w:rsidP="00DA4CE0">
      <w:proofErr w:type="spellStart"/>
      <w:proofErr w:type="gramStart"/>
      <w:r>
        <w:t>hf</w:t>
      </w:r>
      <w:r w:rsidR="00AF2AAE">
        <w:t>s</w:t>
      </w:r>
      <w:proofErr w:type="spellEnd"/>
      <w:r w:rsidR="00AF2AAE">
        <w:t>=</w:t>
      </w:r>
      <w:proofErr w:type="gramEnd"/>
      <w:r w:rsidR="00AF2AAE">
        <w:t>0,31m+</w:t>
      </w:r>
      <w:r w:rsidR="001E6EE9">
        <w:t>6,87m</w:t>
      </w:r>
      <w:r w:rsidR="00AF2AAE">
        <w:t>=</w:t>
      </w:r>
      <w:r w:rsidR="001E6EE9">
        <w:t>7,18m</w:t>
      </w:r>
      <w:r w:rsidR="00AF2AAE">
        <w:t>.</w:t>
      </w:r>
    </w:p>
    <w:p w:rsidR="00AF2AAE" w:rsidRPr="00AF2AAE" w:rsidRDefault="00AF2AAE" w:rsidP="00DA4CE0">
      <w:pPr>
        <w:rPr>
          <w:rFonts w:eastAsiaTheme="minorEastAsia"/>
        </w:rPr>
      </w:pPr>
      <m:oMathPara>
        <m:oMathParaPr>
          <m:jc m:val="left"/>
        </m:oMathParaPr>
        <m:oMath>
          <m:r>
            <w:rPr>
              <w:rFonts w:ascii="Cambria Math" w:eastAsiaTheme="minorEastAsia" w:hAnsi="Cambria Math"/>
            </w:rPr>
            <m:t xml:space="preserve">H=factor de seguridad x </m:t>
          </m:r>
          <m:d>
            <m:dPr>
              <m:ctrlPr>
                <w:rPr>
                  <w:rFonts w:ascii="Cambria Math" w:eastAsiaTheme="minorEastAsia" w:hAnsi="Cambria Math"/>
                  <w:i/>
                </w:rPr>
              </m:ctrlPr>
            </m:dPr>
            <m:e>
              <m:r>
                <w:rPr>
                  <w:rFonts w:ascii="Cambria Math" w:eastAsiaTheme="minorEastAsia" w:hAnsi="Cambria Math"/>
                </w:rPr>
                <m:t>hs+h+hfs+7</m:t>
              </m:r>
            </m:e>
          </m:d>
        </m:oMath>
      </m:oMathPara>
    </w:p>
    <w:p w:rsidR="00AF2AAE" w:rsidRPr="00AF2AAE" w:rsidRDefault="00AF2AAE" w:rsidP="00AF2AAE">
      <w:pPr>
        <w:rPr>
          <w:rFonts w:eastAsiaTheme="minorEastAsia"/>
        </w:rPr>
      </w:pPr>
      <m:oMathPara>
        <m:oMathParaPr>
          <m:jc m:val="left"/>
        </m:oMathParaPr>
        <m:oMath>
          <m:r>
            <w:rPr>
              <w:rFonts w:ascii="Cambria Math" w:eastAsiaTheme="minorEastAsia" w:hAnsi="Cambria Math"/>
            </w:rPr>
            <m:t>H=1,1x</m:t>
          </m:r>
          <m:d>
            <m:dPr>
              <m:ctrlPr>
                <w:rPr>
                  <w:rFonts w:ascii="Cambria Math" w:eastAsiaTheme="minorEastAsia" w:hAnsi="Cambria Math"/>
                  <w:i/>
                </w:rPr>
              </m:ctrlPr>
            </m:dPr>
            <m:e>
              <m:r>
                <w:rPr>
                  <w:rFonts w:ascii="Cambria Math" w:eastAsiaTheme="minorEastAsia" w:hAnsi="Cambria Math"/>
                </w:rPr>
                <m:t>2m+35m</m:t>
              </m:r>
              <m:r>
                <w:rPr>
                  <w:rFonts w:ascii="Cambria Math" w:eastAsiaTheme="minorEastAsia" w:hAnsi="Cambria Math"/>
                </w:rPr>
                <m:t>+</m:t>
              </m:r>
              <w:bookmarkStart w:id="0" w:name="_GoBack"/>
              <w:bookmarkEnd w:id="0"/>
              <m:r>
                <w:rPr>
                  <w:rFonts w:ascii="Cambria Math" w:eastAsiaTheme="minorEastAsia" w:hAnsi="Cambria Math"/>
                </w:rPr>
                <m:t>7,18m+7</m:t>
              </m:r>
            </m:e>
          </m:d>
          <m:r>
            <w:rPr>
              <w:rFonts w:ascii="Cambria Math" w:eastAsiaTheme="minorEastAsia" w:hAnsi="Cambria Math"/>
            </w:rPr>
            <m:t>=56,3m</m:t>
          </m:r>
        </m:oMath>
      </m:oMathPara>
    </w:p>
    <w:p w:rsidR="00AF2AAE" w:rsidRDefault="00AF2AAE" w:rsidP="00AF2AAE">
      <w:pPr>
        <w:rPr>
          <w:rFonts w:eastAsiaTheme="minorEastAsia"/>
        </w:rPr>
      </w:pPr>
      <w:r>
        <w:rPr>
          <w:rFonts w:eastAsiaTheme="minorEastAsia"/>
        </w:rPr>
        <w:t>Los valores de pérdida por fricción de cada elemento conectado, fueron tomados de las tablas contenidas en el libro Aguas (ver bibliografía) el cual está basado en las normas 4044, que corresponde al coeficiente de rugosidad de 120 de tubería de hierro galvanizado. La elección del diámetro de las tuberías de succión e impulsión, fue hecho en base al artículo 184 que con un flujo de 0,83 L/s nos indica una tubería de impulsión de 1” y 1 ¼ “ para la de succión.</w:t>
      </w:r>
    </w:p>
    <w:p w:rsidR="00AF54CB" w:rsidRDefault="00D50769" w:rsidP="00AF2AAE">
      <w:pPr>
        <w:rPr>
          <w:rFonts w:eastAsiaTheme="minorEastAsia"/>
        </w:rPr>
      </w:pPr>
      <w:r>
        <w:rPr>
          <w:noProof/>
          <w:lang w:val="es-ES" w:eastAsia="es-ES"/>
        </w:rPr>
        <w:drawing>
          <wp:anchor distT="0" distB="0" distL="114300" distR="114300" simplePos="0" relativeHeight="251658240" behindDoc="1" locked="0" layoutInCell="1" allowOverlap="1" wp14:anchorId="3900B7C8" wp14:editId="6B973870">
            <wp:simplePos x="0" y="0"/>
            <wp:positionH relativeFrom="column">
              <wp:posOffset>-365760</wp:posOffset>
            </wp:positionH>
            <wp:positionV relativeFrom="paragraph">
              <wp:posOffset>910590</wp:posOffset>
            </wp:positionV>
            <wp:extent cx="6219825" cy="3829050"/>
            <wp:effectExtent l="0" t="0" r="9525" b="0"/>
            <wp:wrapThrough wrapText="bothSides">
              <wp:wrapPolygon edited="0">
                <wp:start x="0" y="0"/>
                <wp:lineTo x="0" y="21493"/>
                <wp:lineTo x="21567" y="21493"/>
                <wp:lineTo x="2156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713" t="1452" r="775" b="1403"/>
                    <a:stretch/>
                  </pic:blipFill>
                  <pic:spPr bwMode="auto">
                    <a:xfrm>
                      <a:off x="0" y="0"/>
                      <a:ext cx="6219825"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0333">
        <w:rPr>
          <w:rFonts w:eastAsiaTheme="minorEastAsia"/>
        </w:rPr>
        <w:t xml:space="preserve">Con los valores obtenidos de la capacidad de la bomba y la altura dinámica, podemos escoger la bomba adecuada que cumpla estos requerimientos. En este caso elegimos la bomba </w:t>
      </w:r>
      <w:r w:rsidRPr="00D50769">
        <w:rPr>
          <w:rFonts w:eastAsiaTheme="minorEastAsia"/>
        </w:rPr>
        <w:t>MXH 406 230/400/50 HZ</w:t>
      </w:r>
      <w:r>
        <w:rPr>
          <w:rFonts w:eastAsiaTheme="minorEastAsia"/>
        </w:rPr>
        <w:t>,</w:t>
      </w:r>
      <w:r w:rsidR="00E654F6">
        <w:rPr>
          <w:rFonts w:eastAsiaTheme="minorEastAsia"/>
        </w:rPr>
        <w:t xml:space="preserve"> multicelular horizontal monobloc</w:t>
      </w:r>
      <w:r>
        <w:rPr>
          <w:rFonts w:eastAsiaTheme="minorEastAsia"/>
        </w:rPr>
        <w:t xml:space="preserve"> </w:t>
      </w:r>
      <w:r w:rsidR="00E654F6">
        <w:rPr>
          <w:rFonts w:eastAsiaTheme="minorEastAsia"/>
        </w:rPr>
        <w:t>de acero inoxidable al cromo níquel.</w:t>
      </w:r>
    </w:p>
    <w:p w:rsidR="00B80333" w:rsidRDefault="00E654F6" w:rsidP="00AF2AAE">
      <w:pPr>
        <w:rPr>
          <w:rFonts w:eastAsiaTheme="minorEastAsia"/>
        </w:rPr>
      </w:pPr>
      <w:r>
        <w:rPr>
          <w:rFonts w:eastAsiaTheme="minorEastAsia"/>
        </w:rPr>
        <w:t>A</w:t>
      </w:r>
      <w:r w:rsidR="00D50769">
        <w:rPr>
          <w:rFonts w:eastAsiaTheme="minorEastAsia"/>
        </w:rPr>
        <w:t xml:space="preserve"> continuación observaremos la relación entre la capacidad de la bomba y la altura dinámica.</w:t>
      </w:r>
    </w:p>
    <w:p w:rsidR="00D50769" w:rsidRDefault="00D50769" w:rsidP="00AF2AAE">
      <w:pPr>
        <w:rPr>
          <w:rFonts w:eastAsiaTheme="minorEastAsia"/>
        </w:rPr>
      </w:pPr>
    </w:p>
    <w:p w:rsidR="00194AFD" w:rsidRPr="00194AFD" w:rsidRDefault="00194AFD" w:rsidP="00194AFD">
      <w:pPr>
        <w:jc w:val="center"/>
        <w:rPr>
          <w:rFonts w:eastAsiaTheme="minorEastAsia"/>
          <w:b/>
        </w:rPr>
      </w:pPr>
      <w:r w:rsidRPr="00194AFD">
        <w:rPr>
          <w:rFonts w:eastAsiaTheme="minorEastAsia"/>
          <w:b/>
        </w:rPr>
        <w:t>Figura 1. Relación entre la capacidad de la bomba y la altura dinámica.</w:t>
      </w:r>
    </w:p>
    <w:p w:rsidR="00194AFD" w:rsidRDefault="00194AFD" w:rsidP="00AF2AAE">
      <w:pPr>
        <w:rPr>
          <w:rFonts w:eastAsiaTheme="minorEastAsia"/>
        </w:rPr>
      </w:pPr>
    </w:p>
    <w:p w:rsidR="00194AFD" w:rsidRDefault="00194AFD" w:rsidP="00AF2AAE">
      <w:pPr>
        <w:rPr>
          <w:rFonts w:eastAsiaTheme="minorEastAsia"/>
        </w:rPr>
      </w:pPr>
    </w:p>
    <w:p w:rsidR="00194AFD" w:rsidRDefault="00194AFD" w:rsidP="00AF2AAE">
      <w:pPr>
        <w:rPr>
          <w:rFonts w:eastAsiaTheme="minorEastAsia"/>
        </w:rPr>
      </w:pPr>
    </w:p>
    <w:p w:rsidR="005527B0" w:rsidRDefault="005527B0" w:rsidP="005527B0">
      <w:pPr>
        <w:rPr>
          <w:b/>
        </w:rPr>
      </w:pPr>
      <w:r>
        <w:rPr>
          <w:b/>
        </w:rPr>
        <w:lastRenderedPageBreak/>
        <w:t xml:space="preserve">Elección del </w:t>
      </w:r>
      <w:proofErr w:type="spellStart"/>
      <w:r>
        <w:rPr>
          <w:b/>
        </w:rPr>
        <w:t>contactor</w:t>
      </w:r>
      <w:proofErr w:type="spellEnd"/>
      <w:r>
        <w:rPr>
          <w:b/>
        </w:rPr>
        <w:t>:</w:t>
      </w:r>
    </w:p>
    <w:p w:rsidR="005527B0" w:rsidRDefault="005527B0" w:rsidP="005527B0">
      <w:r>
        <w:t xml:space="preserve">Para escoger el </w:t>
      </w:r>
      <w:proofErr w:type="spellStart"/>
      <w:r>
        <w:t>contactor</w:t>
      </w:r>
      <w:proofErr w:type="spellEnd"/>
      <w:r>
        <w:t xml:space="preserve">, nos basamos en el Código Eléctrico Nacional, capítulo 4 sección 430. Según la sección 430.22 nos indica que debe poseer una </w:t>
      </w:r>
      <w:proofErr w:type="spellStart"/>
      <w:r>
        <w:t>ampacida</w:t>
      </w:r>
      <w:proofErr w:type="spellEnd"/>
      <w:r>
        <w:t xml:space="preserve"> no menor al 125% de la corriente nominal del motor de la bomba (MXHL 406): 6,2 A X 1,25= 7,75 A; el seleccionado fue el T02BN13U7 Schneider.</w:t>
      </w:r>
    </w:p>
    <w:p w:rsidR="00194AFD" w:rsidRDefault="00194AFD" w:rsidP="005527B0"/>
    <w:p w:rsidR="005527B0" w:rsidRDefault="005527B0" w:rsidP="005527B0">
      <w:pPr>
        <w:rPr>
          <w:b/>
        </w:rPr>
      </w:pPr>
      <w:r>
        <w:rPr>
          <w:b/>
        </w:rPr>
        <w:t xml:space="preserve">Elección del térmico: </w:t>
      </w:r>
    </w:p>
    <w:p w:rsidR="005527B0" w:rsidRDefault="005527B0" w:rsidP="005527B0">
      <w:r>
        <w:t>Según la sección 430.32, nos indica que el protector térmico para un motor que trabaje a un amperaje menor a 9, deberá tener una corriente de disparo no mayor al 170% de la corriente del motor a plena carga: 6,2 x 1,70= 10,54 A; el seleccionado fue el LRD16 Schneider.</w:t>
      </w:r>
    </w:p>
    <w:p w:rsidR="00194AFD" w:rsidRDefault="00194AFD" w:rsidP="005527B0"/>
    <w:p w:rsidR="005527B0" w:rsidRDefault="005527B0" w:rsidP="005527B0">
      <w:pPr>
        <w:rPr>
          <w:b/>
        </w:rPr>
      </w:pPr>
      <w:r>
        <w:rPr>
          <w:b/>
        </w:rPr>
        <w:t xml:space="preserve">Elección del </w:t>
      </w:r>
      <w:proofErr w:type="spellStart"/>
      <w:r>
        <w:rPr>
          <w:b/>
        </w:rPr>
        <w:t>breaker</w:t>
      </w:r>
      <w:proofErr w:type="spellEnd"/>
      <w:r>
        <w:rPr>
          <w:b/>
        </w:rPr>
        <w:t>:</w:t>
      </w:r>
    </w:p>
    <w:p w:rsidR="00D50769" w:rsidRDefault="005527B0" w:rsidP="00AF2AAE">
      <w:r>
        <w:t>En la sección 430.83 parte C, explica que debe ser un interruptor de acción rápida con una corriente nominal no menor al doble de la corriente en plena carga del motor: 6,2 A x 2= 12,4 A; el seleccionado fue el THHQB32020 General Electric.</w:t>
      </w:r>
    </w:p>
    <w:p w:rsidR="00194AFD" w:rsidRPr="00AF54CB" w:rsidRDefault="00194AFD" w:rsidP="00AF2AAE"/>
    <w:p w:rsidR="00AF54CB" w:rsidRPr="00AF54CB" w:rsidRDefault="00AF54CB" w:rsidP="00AF54CB">
      <w:pPr>
        <w:rPr>
          <w:rFonts w:eastAsiaTheme="minorEastAsia"/>
          <w:b/>
        </w:rPr>
      </w:pPr>
      <w:r w:rsidRPr="00AF54CB">
        <w:rPr>
          <w:rFonts w:eastAsiaTheme="minorEastAsia"/>
          <w:b/>
        </w:rPr>
        <w:t>Elección del relé alternador.</w:t>
      </w:r>
    </w:p>
    <w:p w:rsidR="001E6EE9" w:rsidRDefault="00AF54CB" w:rsidP="00AF54CB">
      <w:pPr>
        <w:rPr>
          <w:rFonts w:eastAsiaTheme="minorEastAsia"/>
        </w:rPr>
      </w:pPr>
      <w:r w:rsidRPr="00AF54CB">
        <w:rPr>
          <w:rFonts w:eastAsiaTheme="minorEastAsia"/>
        </w:rPr>
        <w:t xml:space="preserve">Para el alternador se </w:t>
      </w:r>
      <w:r w:rsidR="00353A62">
        <w:rPr>
          <w:rFonts w:eastAsiaTheme="minorEastAsia"/>
        </w:rPr>
        <w:t xml:space="preserve">eligió </w:t>
      </w:r>
      <w:r w:rsidRPr="00AF54CB">
        <w:rPr>
          <w:rFonts w:eastAsiaTheme="minorEastAsia"/>
        </w:rPr>
        <w:t xml:space="preserve">uno </w:t>
      </w:r>
      <w:r w:rsidR="00353A62">
        <w:rPr>
          <w:rFonts w:eastAsiaTheme="minorEastAsia"/>
        </w:rPr>
        <w:t>con SPDT (</w:t>
      </w:r>
      <w:r w:rsidR="00353A62" w:rsidRPr="00353A62">
        <w:rPr>
          <w:rFonts w:cs="Helvetica"/>
          <w:color w:val="000000"/>
          <w:shd w:val="clear" w:color="auto" w:fill="FFFFFF"/>
        </w:rPr>
        <w:t>relé de toque doble unipolar</w:t>
      </w:r>
      <w:r w:rsidR="00353A62">
        <w:rPr>
          <w:rFonts w:eastAsiaTheme="minorEastAsia"/>
        </w:rPr>
        <w:t>) para el manejo de las dos bombas</w:t>
      </w:r>
      <w:r w:rsidRPr="00AF54CB">
        <w:rPr>
          <w:rFonts w:eastAsiaTheme="minorEastAsia"/>
        </w:rPr>
        <w:t>, con una entrada de 220 V.</w:t>
      </w:r>
    </w:p>
    <w:p w:rsidR="00AF2AAE" w:rsidRPr="00D705E4" w:rsidRDefault="00E11419" w:rsidP="00AF2AAE">
      <w:pPr>
        <w:rPr>
          <w:rFonts w:eastAsiaTheme="minorEastAsia"/>
        </w:rPr>
      </w:pPr>
      <w:r>
        <w:rPr>
          <w:rFonts w:eastAsiaTheme="minorEastAsia"/>
          <w:noProof/>
          <w:lang w:val="es-ES" w:eastAsia="es-ES"/>
        </w:rPr>
        <w:lastRenderedPageBreak/>
        <w:drawing>
          <wp:anchor distT="0" distB="0" distL="114300" distR="114300" simplePos="0" relativeHeight="251659264" behindDoc="1" locked="0" layoutInCell="1" allowOverlap="1" wp14:anchorId="71B84592" wp14:editId="4551E9D9">
            <wp:simplePos x="0" y="0"/>
            <wp:positionH relativeFrom="column">
              <wp:posOffset>-670560</wp:posOffset>
            </wp:positionH>
            <wp:positionV relativeFrom="paragraph">
              <wp:posOffset>281305</wp:posOffset>
            </wp:positionV>
            <wp:extent cx="6857365" cy="5410200"/>
            <wp:effectExtent l="0" t="0" r="635" b="0"/>
            <wp:wrapThrough wrapText="bothSides">
              <wp:wrapPolygon edited="0">
                <wp:start x="0" y="0"/>
                <wp:lineTo x="0" y="21524"/>
                <wp:lineTo x="21542" y="21524"/>
                <wp:lineTo x="2154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7365" cy="5410200"/>
                    </a:xfrm>
                    <a:prstGeom prst="rect">
                      <a:avLst/>
                    </a:prstGeom>
                    <a:noFill/>
                  </pic:spPr>
                </pic:pic>
              </a:graphicData>
            </a:graphic>
            <wp14:sizeRelH relativeFrom="page">
              <wp14:pctWidth>0</wp14:pctWidth>
            </wp14:sizeRelH>
            <wp14:sizeRelV relativeFrom="page">
              <wp14:pctHeight>0</wp14:pctHeight>
            </wp14:sizeRelV>
          </wp:anchor>
        </w:drawing>
      </w:r>
    </w:p>
    <w:p w:rsidR="00E11419" w:rsidRDefault="00E11419" w:rsidP="00DA4CE0">
      <w:pPr>
        <w:rPr>
          <w:rFonts w:eastAsiaTheme="minorEastAsia"/>
        </w:rPr>
      </w:pPr>
    </w:p>
    <w:p w:rsidR="00E11419" w:rsidRDefault="00E11419" w:rsidP="00DA4CE0">
      <w:pPr>
        <w:rPr>
          <w:rFonts w:eastAsiaTheme="minorEastAsia"/>
        </w:rPr>
      </w:pPr>
    </w:p>
    <w:p w:rsidR="00194AFD" w:rsidRPr="00194AFD" w:rsidRDefault="00194AFD" w:rsidP="00194AFD">
      <w:pPr>
        <w:jc w:val="center"/>
        <w:rPr>
          <w:rFonts w:eastAsiaTheme="minorEastAsia"/>
          <w:b/>
        </w:rPr>
      </w:pPr>
      <w:r w:rsidRPr="00194AFD">
        <w:rPr>
          <w:rFonts w:eastAsiaTheme="minorEastAsia"/>
          <w:b/>
        </w:rPr>
        <w:t>Figura 2. Diagrama eléctrico del sistema.</w:t>
      </w:r>
    </w:p>
    <w:p w:rsidR="00E11419" w:rsidRDefault="00E11419" w:rsidP="00DA4CE0">
      <w:pPr>
        <w:rPr>
          <w:rFonts w:eastAsiaTheme="minorEastAsia"/>
        </w:rPr>
      </w:pPr>
    </w:p>
    <w:p w:rsidR="00E11419" w:rsidRPr="00AF2AAE" w:rsidRDefault="00E11419" w:rsidP="00DA4CE0">
      <w:pPr>
        <w:rPr>
          <w:rFonts w:eastAsiaTheme="minorEastAsia"/>
        </w:rPr>
      </w:pPr>
      <w:r>
        <w:rPr>
          <w:rFonts w:eastAsiaTheme="minorEastAsia"/>
          <w:noProof/>
          <w:lang w:val="es-ES" w:eastAsia="es-ES"/>
        </w:rPr>
        <w:lastRenderedPageBreak/>
        <w:drawing>
          <wp:anchor distT="0" distB="0" distL="114300" distR="114300" simplePos="0" relativeHeight="251660288" behindDoc="1" locked="0" layoutInCell="1" allowOverlap="1">
            <wp:simplePos x="0" y="0"/>
            <wp:positionH relativeFrom="column">
              <wp:posOffset>-1022985</wp:posOffset>
            </wp:positionH>
            <wp:positionV relativeFrom="paragraph">
              <wp:posOffset>-71120</wp:posOffset>
            </wp:positionV>
            <wp:extent cx="7965440" cy="5615940"/>
            <wp:effectExtent l="0" t="0" r="0" b="3810"/>
            <wp:wrapThrough wrapText="bothSides">
              <wp:wrapPolygon edited="0">
                <wp:start x="0" y="0"/>
                <wp:lineTo x="0" y="21541"/>
                <wp:lineTo x="21541" y="21541"/>
                <wp:lineTo x="2154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5440" cy="5615940"/>
                    </a:xfrm>
                    <a:prstGeom prst="rect">
                      <a:avLst/>
                    </a:prstGeom>
                    <a:noFill/>
                  </pic:spPr>
                </pic:pic>
              </a:graphicData>
            </a:graphic>
            <wp14:sizeRelH relativeFrom="page">
              <wp14:pctWidth>0</wp14:pctWidth>
            </wp14:sizeRelH>
            <wp14:sizeRelV relativeFrom="page">
              <wp14:pctHeight>0</wp14:pctHeight>
            </wp14:sizeRelV>
          </wp:anchor>
        </w:drawing>
      </w:r>
    </w:p>
    <w:p w:rsidR="00194AFD" w:rsidRPr="00194AFD" w:rsidRDefault="00194AFD" w:rsidP="00194AFD">
      <w:pPr>
        <w:jc w:val="center"/>
        <w:rPr>
          <w:rFonts w:eastAsiaTheme="minorEastAsia"/>
          <w:b/>
        </w:rPr>
      </w:pPr>
      <w:r w:rsidRPr="00194AFD">
        <w:rPr>
          <w:rFonts w:eastAsiaTheme="minorEastAsia"/>
          <w:b/>
        </w:rPr>
        <w:t>Figura 2. Diagrama P&amp;ID del sistema tanque a tanque</w:t>
      </w:r>
    </w:p>
    <w:p w:rsidR="00FD6CCD" w:rsidRDefault="00FD6CCD"/>
    <w:p w:rsidR="00194AFD" w:rsidRDefault="00194AFD"/>
    <w:p w:rsidR="00E11419" w:rsidRDefault="00E11419"/>
    <w:p w:rsidR="00E11419" w:rsidRDefault="00E11419"/>
    <w:p w:rsidR="00E11419" w:rsidRDefault="00E11419"/>
    <w:p w:rsidR="00E11419" w:rsidRDefault="00E11419"/>
    <w:p w:rsidR="00E11419" w:rsidRDefault="00E11419"/>
    <w:p w:rsidR="00E11419" w:rsidRDefault="00E11419"/>
    <w:p w:rsidR="00E11419" w:rsidRDefault="00E11419"/>
    <w:p w:rsidR="00E11419" w:rsidRDefault="00E11419" w:rsidP="00E11419">
      <w:pPr>
        <w:ind w:left="2124" w:firstLine="708"/>
        <w:rPr>
          <w:sz w:val="24"/>
          <w:szCs w:val="24"/>
        </w:rPr>
      </w:pPr>
      <w:r>
        <w:rPr>
          <w:b/>
          <w:sz w:val="28"/>
          <w:szCs w:val="28"/>
        </w:rPr>
        <w:t>Memoria descriptiva</w:t>
      </w:r>
    </w:p>
    <w:tbl>
      <w:tblPr>
        <w:tblStyle w:val="Tablaconcuadrcula"/>
        <w:tblW w:w="0" w:type="auto"/>
        <w:tblLook w:val="04A0" w:firstRow="1" w:lastRow="0" w:firstColumn="1" w:lastColumn="0" w:noHBand="0" w:noVBand="1"/>
      </w:tblPr>
      <w:tblGrid>
        <w:gridCol w:w="1453"/>
        <w:gridCol w:w="1375"/>
        <w:gridCol w:w="1450"/>
        <w:gridCol w:w="1513"/>
        <w:gridCol w:w="1454"/>
        <w:gridCol w:w="1475"/>
      </w:tblGrid>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Instrumento</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Cantidad</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Marca</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Modelo</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Detalles técnicos</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Costo(unidad en $)</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Bomba</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proofErr w:type="spellStart"/>
            <w:r>
              <w:t>Calpeda</w:t>
            </w:r>
            <w:proofErr w:type="spellEnd"/>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MXH 406</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 xml:space="preserve">Presión </w:t>
            </w:r>
            <w:proofErr w:type="spellStart"/>
            <w:r>
              <w:t>máx</w:t>
            </w:r>
            <w:proofErr w:type="spellEnd"/>
            <w:r>
              <w:t xml:space="preserve"> 116,03 Psi , T</w:t>
            </w:r>
            <w:r>
              <w:rPr>
                <w:vertAlign w:val="superscript"/>
              </w:rPr>
              <w:t xml:space="preserve"> </w:t>
            </w:r>
            <w:proofErr w:type="spellStart"/>
            <w:r>
              <w:t>máx</w:t>
            </w:r>
            <w:proofErr w:type="spellEnd"/>
            <w:r>
              <w:t xml:space="preserve"> 40 °C, In 1 ¼ “ </w:t>
            </w:r>
            <w:proofErr w:type="spellStart"/>
            <w:r>
              <w:t>Out</w:t>
            </w:r>
            <w:proofErr w:type="spellEnd"/>
            <w:r>
              <w:t xml:space="preserve"> 1”</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641,12</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proofErr w:type="spellStart"/>
            <w:r>
              <w:t>Contactor</w:t>
            </w:r>
            <w:proofErr w:type="spellEnd"/>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Schneider</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T02BN13U7</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240 VAC, 18 A, 50/60 Hz</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639,5</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Relé térmico</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Schneider</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LRD16</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9-13 A, 3 Polos</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88,30</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proofErr w:type="spellStart"/>
            <w:r>
              <w:t>Breaker</w:t>
            </w:r>
            <w:proofErr w:type="spellEnd"/>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General Electric</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THHQB32020</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20 A, 3 Polos</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433,75</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Relé de nivel</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Schneider</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RM84870</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 xml:space="preserve">120 V AC, 50/50 Hz, Electrodos </w:t>
            </w:r>
            <w:proofErr w:type="spellStart"/>
            <w:r>
              <w:t>máx</w:t>
            </w:r>
            <w:proofErr w:type="spellEnd"/>
            <w:r>
              <w:t xml:space="preserve"> 24 VAC/ </w:t>
            </w:r>
            <w:proofErr w:type="spellStart"/>
            <w:r>
              <w:t>máx</w:t>
            </w:r>
            <w:proofErr w:type="spellEnd"/>
            <w:r>
              <w:t xml:space="preserve"> 1 </w:t>
            </w:r>
            <w:proofErr w:type="spellStart"/>
            <w:r>
              <w:t>mA</w:t>
            </w:r>
            <w:proofErr w:type="spellEnd"/>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85</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Relé alternador</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1</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8A1FC2">
            <w:r w:rsidRPr="008A1FC2">
              <w:t xml:space="preserve">Carlo </w:t>
            </w:r>
            <w:proofErr w:type="spellStart"/>
            <w:r w:rsidRPr="008A1FC2">
              <w:t>Gavazzi</w:t>
            </w:r>
            <w:proofErr w:type="spellEnd"/>
          </w:p>
        </w:tc>
        <w:tc>
          <w:tcPr>
            <w:tcW w:w="1513" w:type="dxa"/>
            <w:tcBorders>
              <w:top w:val="single" w:sz="4" w:space="0" w:color="auto"/>
              <w:left w:val="single" w:sz="4" w:space="0" w:color="auto"/>
              <w:bottom w:val="single" w:sz="4" w:space="0" w:color="auto"/>
              <w:right w:val="single" w:sz="4" w:space="0" w:color="auto"/>
            </w:tcBorders>
            <w:hideMark/>
          </w:tcPr>
          <w:p w:rsidR="00E11419" w:rsidRDefault="008A1FC2">
            <w:r w:rsidRPr="008A1FC2">
              <w:t>DLA71</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8A1FC2">
            <w:r w:rsidRPr="008A1FC2">
              <w:t>115/230 VAC</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116,86</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 xml:space="preserve">Válvula  de flotador </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1</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rPr>
                <w:color w:val="333333"/>
                <w:shd w:val="clear" w:color="auto" w:fill="FFFFFF"/>
              </w:rPr>
              <w:t>OSSP</w:t>
            </w:r>
          </w:p>
        </w:tc>
        <w:tc>
          <w:tcPr>
            <w:tcW w:w="1513" w:type="dxa"/>
            <w:tcBorders>
              <w:top w:val="single" w:sz="4" w:space="0" w:color="auto"/>
              <w:left w:val="single" w:sz="4" w:space="0" w:color="auto"/>
              <w:bottom w:val="single" w:sz="4" w:space="0" w:color="auto"/>
              <w:right w:val="single" w:sz="4" w:space="0" w:color="auto"/>
            </w:tcBorders>
          </w:tcPr>
          <w:p w:rsidR="00E11419" w:rsidRDefault="00E11419">
            <w:pPr>
              <w:spacing w:line="300" w:lineRule="atLeast"/>
              <w:textAlignment w:val="baseline"/>
              <w:rPr>
                <w:rFonts w:ascii="inherit" w:hAnsi="inherit"/>
                <w:color w:val="333333"/>
                <w:sz w:val="18"/>
                <w:szCs w:val="18"/>
              </w:rPr>
            </w:pPr>
            <w:r>
              <w:rPr>
                <w:rFonts w:ascii="inherit" w:hAnsi="inherit"/>
                <w:color w:val="333333"/>
                <w:sz w:val="18"/>
                <w:szCs w:val="18"/>
              </w:rPr>
              <w:t>FV-FQ</w:t>
            </w:r>
          </w:p>
          <w:p w:rsidR="00E11419" w:rsidRDefault="00E11419"/>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2”</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50</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Válvula de compuerta</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3524DF">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proofErr w:type="spellStart"/>
            <w:r>
              <w:t>Bestway</w:t>
            </w:r>
            <w:proofErr w:type="spellEnd"/>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BW-G01</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1/2” – 4”</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20</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Válvula de retención</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3524DF">
            <w:r>
              <w:t>2</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NACO</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 xml:space="preserve">1”- 2” </w:t>
            </w:r>
          </w:p>
          <w:p w:rsidR="00E11419" w:rsidRDefault="00E11419">
            <w:r>
              <w:t>T -35°C – 350 °C</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6</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 xml:space="preserve">Codo </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4</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513" w:type="dxa"/>
            <w:tcBorders>
              <w:top w:val="single" w:sz="4" w:space="0" w:color="auto"/>
              <w:left w:val="single" w:sz="4" w:space="0" w:color="auto"/>
              <w:bottom w:val="single" w:sz="4" w:space="0" w:color="auto"/>
              <w:right w:val="single" w:sz="4" w:space="0" w:color="auto"/>
            </w:tcBorders>
          </w:tcPr>
          <w:p w:rsidR="00E11419" w:rsidRDefault="00E11419">
            <w:r>
              <w:t>G90 25</w:t>
            </w:r>
          </w:p>
          <w:p w:rsidR="00E11419" w:rsidRDefault="00E11419"/>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Hierro galvanizado, 90°</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1,35</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Tubería de hierro galvanizado</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7" w:type="dxa"/>
            <w:tcBorders>
              <w:top w:val="single" w:sz="4" w:space="0" w:color="auto"/>
              <w:left w:val="single" w:sz="4" w:space="0" w:color="auto"/>
              <w:bottom w:val="single" w:sz="4" w:space="0" w:color="auto"/>
              <w:right w:val="single" w:sz="4" w:space="0" w:color="auto"/>
            </w:tcBorders>
          </w:tcPr>
          <w:p w:rsidR="00E11419" w:rsidRDefault="00E11419">
            <w:r>
              <w:t>1 ¼ “, 1”</w:t>
            </w:r>
          </w:p>
          <w:p w:rsidR="00E11419" w:rsidRDefault="00E11419"/>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Caja de conexiones</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1</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WIEGMANN</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BN4141206CH</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Acero carbonizado</w:t>
            </w:r>
          </w:p>
          <w:p w:rsidR="00E11419" w:rsidRDefault="00E11419">
            <w:r>
              <w:t xml:space="preserve">14”x12”x6” </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171,5</w:t>
            </w:r>
          </w:p>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Cable para el motor</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8AWG</w:t>
            </w:r>
          </w:p>
        </w:tc>
        <w:tc>
          <w:tcPr>
            <w:tcW w:w="1497" w:type="dxa"/>
            <w:tcBorders>
              <w:top w:val="single" w:sz="4" w:space="0" w:color="auto"/>
              <w:left w:val="single" w:sz="4" w:space="0" w:color="auto"/>
              <w:bottom w:val="single" w:sz="4" w:space="0" w:color="auto"/>
              <w:right w:val="single" w:sz="4" w:space="0" w:color="auto"/>
            </w:tcBorders>
          </w:tcPr>
          <w:p w:rsidR="00E11419" w:rsidRDefault="00E11419"/>
        </w:tc>
      </w:tr>
      <w:tr w:rsidR="00E11419" w:rsidTr="00E11419">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Cable para el control</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6"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513" w:type="dxa"/>
            <w:tcBorders>
              <w:top w:val="single" w:sz="4" w:space="0" w:color="auto"/>
              <w:left w:val="single" w:sz="4" w:space="0" w:color="auto"/>
              <w:bottom w:val="single" w:sz="4" w:space="0" w:color="auto"/>
              <w:right w:val="single" w:sz="4" w:space="0" w:color="auto"/>
            </w:tcBorders>
            <w:hideMark/>
          </w:tcPr>
          <w:p w:rsidR="00E11419" w:rsidRDefault="00E11419">
            <w:r>
              <w:t>--</w:t>
            </w:r>
          </w:p>
        </w:tc>
        <w:tc>
          <w:tcPr>
            <w:tcW w:w="1497" w:type="dxa"/>
            <w:tcBorders>
              <w:top w:val="single" w:sz="4" w:space="0" w:color="auto"/>
              <w:left w:val="single" w:sz="4" w:space="0" w:color="auto"/>
              <w:bottom w:val="single" w:sz="4" w:space="0" w:color="auto"/>
              <w:right w:val="single" w:sz="4" w:space="0" w:color="auto"/>
            </w:tcBorders>
            <w:hideMark/>
          </w:tcPr>
          <w:p w:rsidR="00E11419" w:rsidRDefault="00E11419">
            <w:r>
              <w:t>16AWG</w:t>
            </w:r>
          </w:p>
        </w:tc>
        <w:tc>
          <w:tcPr>
            <w:tcW w:w="1497" w:type="dxa"/>
            <w:tcBorders>
              <w:top w:val="single" w:sz="4" w:space="0" w:color="auto"/>
              <w:left w:val="single" w:sz="4" w:space="0" w:color="auto"/>
              <w:bottom w:val="single" w:sz="4" w:space="0" w:color="auto"/>
              <w:right w:val="single" w:sz="4" w:space="0" w:color="auto"/>
            </w:tcBorders>
          </w:tcPr>
          <w:p w:rsidR="00E11419" w:rsidRDefault="00E11419"/>
        </w:tc>
      </w:tr>
    </w:tbl>
    <w:p w:rsidR="00E11419" w:rsidRDefault="00E11419" w:rsidP="00E11419">
      <w:pPr>
        <w:tabs>
          <w:tab w:val="left" w:pos="1770"/>
        </w:tabs>
      </w:pPr>
      <w:r>
        <w:tab/>
      </w:r>
    </w:p>
    <w:p w:rsidR="00E11419" w:rsidRDefault="00E11419" w:rsidP="00E11419">
      <w:pPr>
        <w:tabs>
          <w:tab w:val="left" w:pos="1770"/>
        </w:tabs>
      </w:pPr>
    </w:p>
    <w:p w:rsidR="00E11419" w:rsidRDefault="00E11419"/>
    <w:p w:rsidR="00FD6CCD" w:rsidRDefault="00FD6CCD"/>
    <w:sectPr w:rsidR="00FD6C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64DDE"/>
    <w:multiLevelType w:val="hybridMultilevel"/>
    <w:tmpl w:val="102A56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BC66196"/>
    <w:multiLevelType w:val="hybridMultilevel"/>
    <w:tmpl w:val="250A61F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291"/>
    <w:rsid w:val="000A2291"/>
    <w:rsid w:val="000B6B9E"/>
    <w:rsid w:val="0010038D"/>
    <w:rsid w:val="00194AFD"/>
    <w:rsid w:val="001E6EE9"/>
    <w:rsid w:val="003524DF"/>
    <w:rsid w:val="00353A62"/>
    <w:rsid w:val="00434C5C"/>
    <w:rsid w:val="00532C16"/>
    <w:rsid w:val="00543DA9"/>
    <w:rsid w:val="005527B0"/>
    <w:rsid w:val="00732F4D"/>
    <w:rsid w:val="008A1FC2"/>
    <w:rsid w:val="008F5374"/>
    <w:rsid w:val="009340DD"/>
    <w:rsid w:val="00A063FA"/>
    <w:rsid w:val="00A33DB8"/>
    <w:rsid w:val="00AF2AAE"/>
    <w:rsid w:val="00AF54CB"/>
    <w:rsid w:val="00B80333"/>
    <w:rsid w:val="00BE3677"/>
    <w:rsid w:val="00C274BC"/>
    <w:rsid w:val="00D50769"/>
    <w:rsid w:val="00D705E4"/>
    <w:rsid w:val="00D734AB"/>
    <w:rsid w:val="00DA28F4"/>
    <w:rsid w:val="00DA4CE0"/>
    <w:rsid w:val="00E11419"/>
    <w:rsid w:val="00E61C14"/>
    <w:rsid w:val="00E654F6"/>
    <w:rsid w:val="00F33B7D"/>
    <w:rsid w:val="00FD6C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8D"/>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C5C"/>
    <w:pPr>
      <w:ind w:left="720"/>
      <w:contextualSpacing/>
    </w:pPr>
  </w:style>
  <w:style w:type="paragraph" w:styleId="Textodeglobo">
    <w:name w:val="Balloon Text"/>
    <w:basedOn w:val="Normal"/>
    <w:link w:val="TextodegloboCar"/>
    <w:uiPriority w:val="99"/>
    <w:semiHidden/>
    <w:unhideWhenUsed/>
    <w:rsid w:val="00F33B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B7D"/>
    <w:rPr>
      <w:rFonts w:ascii="Tahoma" w:hAnsi="Tahoma" w:cs="Tahoma"/>
      <w:sz w:val="16"/>
      <w:szCs w:val="16"/>
      <w:lang w:val="es-VE"/>
    </w:rPr>
  </w:style>
  <w:style w:type="table" w:styleId="Tablaconcuadrcula">
    <w:name w:val="Table Grid"/>
    <w:basedOn w:val="Tablanormal"/>
    <w:uiPriority w:val="59"/>
    <w:rsid w:val="00E11419"/>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8D"/>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C5C"/>
    <w:pPr>
      <w:ind w:left="720"/>
      <w:contextualSpacing/>
    </w:pPr>
  </w:style>
  <w:style w:type="paragraph" w:styleId="Textodeglobo">
    <w:name w:val="Balloon Text"/>
    <w:basedOn w:val="Normal"/>
    <w:link w:val="TextodegloboCar"/>
    <w:uiPriority w:val="99"/>
    <w:semiHidden/>
    <w:unhideWhenUsed/>
    <w:rsid w:val="00F33B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3B7D"/>
    <w:rPr>
      <w:rFonts w:ascii="Tahoma" w:hAnsi="Tahoma" w:cs="Tahoma"/>
      <w:sz w:val="16"/>
      <w:szCs w:val="16"/>
      <w:lang w:val="es-VE"/>
    </w:rPr>
  </w:style>
  <w:style w:type="table" w:styleId="Tablaconcuadrcula">
    <w:name w:val="Table Grid"/>
    <w:basedOn w:val="Tablanormal"/>
    <w:uiPriority w:val="59"/>
    <w:rsid w:val="00E11419"/>
    <w:pPr>
      <w:spacing w:after="0" w:line="240" w:lineRule="auto"/>
    </w:pPr>
    <w:rPr>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81081">
      <w:bodyDiv w:val="1"/>
      <w:marLeft w:val="0"/>
      <w:marRight w:val="0"/>
      <w:marTop w:val="0"/>
      <w:marBottom w:val="0"/>
      <w:divBdr>
        <w:top w:val="none" w:sz="0" w:space="0" w:color="auto"/>
        <w:left w:val="none" w:sz="0" w:space="0" w:color="auto"/>
        <w:bottom w:val="none" w:sz="0" w:space="0" w:color="auto"/>
        <w:right w:val="none" w:sz="0" w:space="0" w:color="auto"/>
      </w:divBdr>
    </w:div>
    <w:div w:id="161967334">
      <w:bodyDiv w:val="1"/>
      <w:marLeft w:val="0"/>
      <w:marRight w:val="0"/>
      <w:marTop w:val="0"/>
      <w:marBottom w:val="0"/>
      <w:divBdr>
        <w:top w:val="none" w:sz="0" w:space="0" w:color="auto"/>
        <w:left w:val="none" w:sz="0" w:space="0" w:color="auto"/>
        <w:bottom w:val="none" w:sz="0" w:space="0" w:color="auto"/>
        <w:right w:val="none" w:sz="0" w:space="0" w:color="auto"/>
      </w:divBdr>
    </w:div>
    <w:div w:id="318197100">
      <w:bodyDiv w:val="1"/>
      <w:marLeft w:val="0"/>
      <w:marRight w:val="0"/>
      <w:marTop w:val="0"/>
      <w:marBottom w:val="0"/>
      <w:divBdr>
        <w:top w:val="none" w:sz="0" w:space="0" w:color="auto"/>
        <w:left w:val="none" w:sz="0" w:space="0" w:color="auto"/>
        <w:bottom w:val="none" w:sz="0" w:space="0" w:color="auto"/>
        <w:right w:val="none" w:sz="0" w:space="0" w:color="auto"/>
      </w:divBdr>
    </w:div>
    <w:div w:id="898982152">
      <w:bodyDiv w:val="1"/>
      <w:marLeft w:val="0"/>
      <w:marRight w:val="0"/>
      <w:marTop w:val="0"/>
      <w:marBottom w:val="0"/>
      <w:divBdr>
        <w:top w:val="none" w:sz="0" w:space="0" w:color="auto"/>
        <w:left w:val="none" w:sz="0" w:space="0" w:color="auto"/>
        <w:bottom w:val="none" w:sz="0" w:space="0" w:color="auto"/>
        <w:right w:val="none" w:sz="0" w:space="0" w:color="auto"/>
      </w:divBdr>
    </w:div>
    <w:div w:id="914586577">
      <w:bodyDiv w:val="1"/>
      <w:marLeft w:val="0"/>
      <w:marRight w:val="0"/>
      <w:marTop w:val="0"/>
      <w:marBottom w:val="0"/>
      <w:divBdr>
        <w:top w:val="none" w:sz="0" w:space="0" w:color="auto"/>
        <w:left w:val="none" w:sz="0" w:space="0" w:color="auto"/>
        <w:bottom w:val="none" w:sz="0" w:space="0" w:color="auto"/>
        <w:right w:val="none" w:sz="0" w:space="0" w:color="auto"/>
      </w:divBdr>
    </w:div>
    <w:div w:id="1015427995">
      <w:bodyDiv w:val="1"/>
      <w:marLeft w:val="0"/>
      <w:marRight w:val="0"/>
      <w:marTop w:val="0"/>
      <w:marBottom w:val="0"/>
      <w:divBdr>
        <w:top w:val="none" w:sz="0" w:space="0" w:color="auto"/>
        <w:left w:val="none" w:sz="0" w:space="0" w:color="auto"/>
        <w:bottom w:val="none" w:sz="0" w:space="0" w:color="auto"/>
        <w:right w:val="none" w:sz="0" w:space="0" w:color="auto"/>
      </w:divBdr>
    </w:div>
    <w:div w:id="1036154054">
      <w:bodyDiv w:val="1"/>
      <w:marLeft w:val="0"/>
      <w:marRight w:val="0"/>
      <w:marTop w:val="0"/>
      <w:marBottom w:val="0"/>
      <w:divBdr>
        <w:top w:val="none" w:sz="0" w:space="0" w:color="auto"/>
        <w:left w:val="none" w:sz="0" w:space="0" w:color="auto"/>
        <w:bottom w:val="none" w:sz="0" w:space="0" w:color="auto"/>
        <w:right w:val="none" w:sz="0" w:space="0" w:color="auto"/>
      </w:divBdr>
    </w:div>
    <w:div w:id="1453744450">
      <w:bodyDiv w:val="1"/>
      <w:marLeft w:val="0"/>
      <w:marRight w:val="0"/>
      <w:marTop w:val="0"/>
      <w:marBottom w:val="0"/>
      <w:divBdr>
        <w:top w:val="none" w:sz="0" w:space="0" w:color="auto"/>
        <w:left w:val="none" w:sz="0" w:space="0" w:color="auto"/>
        <w:bottom w:val="none" w:sz="0" w:space="0" w:color="auto"/>
        <w:right w:val="none" w:sz="0" w:space="0" w:color="auto"/>
      </w:divBdr>
    </w:div>
    <w:div w:id="1953899472">
      <w:bodyDiv w:val="1"/>
      <w:marLeft w:val="0"/>
      <w:marRight w:val="0"/>
      <w:marTop w:val="0"/>
      <w:marBottom w:val="0"/>
      <w:divBdr>
        <w:top w:val="none" w:sz="0" w:space="0" w:color="auto"/>
        <w:left w:val="none" w:sz="0" w:space="0" w:color="auto"/>
        <w:bottom w:val="none" w:sz="0" w:space="0" w:color="auto"/>
        <w:right w:val="none" w:sz="0" w:space="0" w:color="auto"/>
      </w:divBdr>
    </w:div>
    <w:div w:id="214580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8</Pages>
  <Words>1171</Words>
  <Characters>6443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Alexandra</cp:lastModifiedBy>
  <cp:revision>10</cp:revision>
  <dcterms:created xsi:type="dcterms:W3CDTF">2018-06-16T15:41:00Z</dcterms:created>
  <dcterms:modified xsi:type="dcterms:W3CDTF">2018-06-19T13:35:00Z</dcterms:modified>
</cp:coreProperties>
</file>