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Неоднородность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бюджетной</w:t>
      </w:r>
      <w:r>
        <w:t xml:space="preserve"> </w:t>
      </w:r>
      <w:r>
        <w:t xml:space="preserve">политики</w:t>
      </w:r>
      <w:r>
        <w:t xml:space="preserve"> </w:t>
      </w:r>
      <w:r>
        <w:t xml:space="preserve">на</w:t>
      </w:r>
      <w:r>
        <w:t xml:space="preserve"> </w:t>
      </w:r>
      <w:r>
        <w:t xml:space="preserve">регионы</w:t>
      </w:r>
      <w:r>
        <w:t xml:space="preserve"> </w:t>
      </w:r>
      <w:r>
        <w:t xml:space="preserve">России</w:t>
      </w:r>
      <w:r>
        <w:rPr>
          <w:rStyle w:val="ad"/>
        </w:rPr>
        <w:footnoteReference w:id="20"/>
      </w:r>
      <w:r>
        <w:t xml:space="preserve"> </w:t>
      </w:r>
      <w:r>
        <w:rPr>
          <w:vertAlign w:val="superscript"/>
        </w:rPr>
        <w:t xml:space="preserve">,</w:t>
      </w:r>
      <w:r>
        <w:t xml:space="preserve"> </w:t>
      </w:r>
      <w:r>
        <w:rPr>
          <w:rStyle w:val="ad"/>
        </w:rPr>
        <w:footnoteReference w:id="22"/>
      </w:r>
    </w:p>
    <w:p>
      <w:pPr>
        <w:pStyle w:val="Author"/>
      </w:pPr>
      <w:r>
        <w:rPr>
          <w:bCs/>
          <w:b/>
        </w:rPr>
        <w:t xml:space="preserve">И.</w:t>
      </w:r>
      <w:r>
        <w:rPr>
          <w:bCs/>
          <w:b/>
        </w:rPr>
        <w:t xml:space="preserve"> </w:t>
      </w:r>
      <w:r>
        <w:rPr>
          <w:bCs/>
          <w:b/>
        </w:rPr>
        <w:t xml:space="preserve">В.</w:t>
      </w:r>
      <w:r>
        <w:rPr>
          <w:bCs/>
          <w:b/>
        </w:rPr>
        <w:t xml:space="preserve"> </w:t>
      </w:r>
      <w:r>
        <w:rPr>
          <w:bCs/>
          <w:b/>
        </w:rPr>
        <w:t xml:space="preserve">Гуленков.</w:t>
      </w:r>
      <w:r>
        <w:t xml:space="preserve"> </w:t>
      </w:r>
      <w:r>
        <w:t xml:space="preserve">Департамент</w:t>
      </w:r>
      <w:r>
        <w:t xml:space="preserve"> </w:t>
      </w:r>
      <w:r>
        <w:t xml:space="preserve">теоретической</w:t>
      </w:r>
      <w:r>
        <w:t xml:space="preserve"> </w:t>
      </w:r>
      <w:r>
        <w:t xml:space="preserve">экономики,</w:t>
      </w:r>
      <w:r>
        <w:t xml:space="preserve"> </w:t>
      </w:r>
      <w:r>
        <w:t xml:space="preserve">Международная</w:t>
      </w:r>
      <w:r>
        <w:t xml:space="preserve"> </w:t>
      </w:r>
      <w:r>
        <w:t xml:space="preserve">лаборатория</w:t>
      </w:r>
      <w:r>
        <w:t xml:space="preserve"> </w:t>
      </w:r>
      <w:r>
        <w:t xml:space="preserve">макроэкономического</w:t>
      </w:r>
      <w:r>
        <w:t xml:space="preserve"> </w:t>
      </w:r>
      <w:r>
        <w:t xml:space="preserve">анализа,</w:t>
      </w:r>
      <w:r>
        <w:t xml:space="preserve"> </w:t>
      </w:r>
      <w:r>
        <w:t xml:space="preserve">Национальный</w:t>
      </w:r>
      <w:r>
        <w:t xml:space="preserve"> </w:t>
      </w:r>
      <w:r>
        <w:t xml:space="preserve">исследовательский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“</w:t>
      </w:r>
      <w:r>
        <w:t xml:space="preserve">Высшая</w:t>
      </w:r>
      <w:r>
        <w:t xml:space="preserve"> </w:t>
      </w:r>
      <w:r>
        <w:t xml:space="preserve">школа</w:t>
      </w:r>
      <w:r>
        <w:t xml:space="preserve"> </w:t>
      </w:r>
      <w:r>
        <w:t xml:space="preserve">экономики</w:t>
      </w:r>
      <w:r>
        <w:t xml:space="preserve">”</w:t>
      </w:r>
      <w:r>
        <w:t xml:space="preserve">,</w:t>
      </w:r>
      <w:r>
        <w:t xml:space="preserve"> </w:t>
      </w:r>
      <w:r>
        <w:t xml:space="preserve">Москва</w:t>
      </w:r>
    </w:p>
    <w:bookmarkStart w:id="23" w:name="введение"/>
    <w:p>
      <w:pPr>
        <w:pStyle w:val="1"/>
      </w:pPr>
      <w:r>
        <w:t xml:space="preserve">Введение</w:t>
      </w:r>
    </w:p>
    <w:p>
      <w:pPr>
        <w:pStyle w:val="FirstParagraph"/>
      </w:pPr>
      <w:r>
        <w:t xml:space="preserve">Фискальная политика традиционно используется не только в качестве контрциклического инструмента на уровне всей страны, но и для сглаживания региональных диспропорций. Для повышения эффективности перераспределения ресурсов с помощью бюджетного процесса необходимо детальное понимание механизма фискальной трансмиссии и величины возникающих эффектов как во времени, так и в пространстве. В настоящий момент в академической литературе консенсус по этому вопросу отсутствует.</w:t>
      </w:r>
    </w:p>
    <w:p>
      <w:pPr>
        <w:pStyle w:val="a0"/>
      </w:pPr>
      <w:r>
        <w:t xml:space="preserve">Влияние фискальной политики на экономическую активность чаще всего описывается с помощью мультипликатора - величины, определяющей изменение совокупного выпуска в ответ на единичное изменение государственных расходов. В обзоре эмпирических работ, посвящённых США,</w:t>
      </w:r>
      <w:r>
        <w:t xml:space="preserve"> </w:t>
      </w:r>
      <w:r>
        <w:t xml:space="preserve">Ramey (2011)</w:t>
      </w:r>
      <w:r>
        <w:t xml:space="preserve"> </w:t>
      </w:r>
      <w:r>
        <w:t xml:space="preserve">заключает, что величина мультипликатора на национальном уровне лежит между 0.8 и 1.5. Существующие оценки мультипликатора бюджетных расходов для России разнятся от 0.1 до 0.9, однако отмечается их неоднородность в зависимости от типа бюджетных расходов и периода оценки</w:t>
      </w:r>
      <w:r>
        <w:t xml:space="preserve"> </w:t>
      </w:r>
      <w:r>
        <w:t xml:space="preserve">(Зяблицкий, 2020)</w:t>
      </w:r>
      <w:r>
        <w:t xml:space="preserve">.</w:t>
      </w:r>
    </w:p>
    <w:p>
      <w:pPr>
        <w:pStyle w:val="a0"/>
      </w:pPr>
      <w:r>
        <w:t xml:space="preserve">Выраженная дифференциация регионов по уровню экономического развития является предпосылкой для различий в эффективности бюджетной политики между регионами России. Распространение дезагрегированных данных об экономической активности на субнациональном уровне сделало возможным оценку так называемых</w:t>
      </w:r>
      <w:r>
        <w:t xml:space="preserve"> </w:t>
      </w:r>
      <w:r>
        <w:rPr>
          <w:iCs/>
          <w:i/>
        </w:rPr>
        <w:t xml:space="preserve">локальных мультипликаторов</w:t>
      </w:r>
      <w:r>
        <w:t xml:space="preserve">. Локальные мультипликаторы характеризуют разницу в динамике выпуска между регионами, возникающую из-за увеличения государственных расходов в одном регионе по сравнению с другим</w:t>
      </w:r>
      <w:r>
        <w:t xml:space="preserve"> </w:t>
      </w:r>
      <w:r>
        <w:t xml:space="preserve">(Chodorow-Reich, 2019; Nakamura, Steinsson, 2014)</w:t>
      </w:r>
      <w:r>
        <w:t xml:space="preserve">. Обширная литература о локальных мультипликаторах свидетельствует, помимо прочего, что региональные бюджетные шоки отражаются на экономике регионов-соседей значимыми спилловер-эффектами (эффектами перелива). Существование выраженных, но неоднородных спилловер-эффектов между регионами России также хорошо документировано в литературе</w:t>
      </w:r>
      <w:r>
        <w:t xml:space="preserve"> </w:t>
      </w:r>
      <w:r>
        <w:t xml:space="preserve">(Демидова и др., 2021; Демидова, Иванов, 2016)</w:t>
      </w:r>
      <w:r>
        <w:t xml:space="preserve">.</w:t>
      </w:r>
    </w:p>
    <w:p>
      <w:pPr>
        <w:pStyle w:val="a0"/>
      </w:pPr>
      <w:r>
        <w:t xml:space="preserve">Настоящее исследование призвано оценить неоднородность эффектов фискальной политики на уровне регионов России. В нём впервые для анализа воздействия мер фискальной политики в российской экономике использована модель глобальной векторной авторегрессии, которая позволяет учитывать возникающие спилловер-эффекты благодаря наличию межрегиональных взаимосвязей. Модель оценивается с помощью байесовских методов на месячных данных за период 2009 - 2024 гг. и включает данные о деловой активности, инфляции и исполнению бюджетов на уровне субъектов РФ, а также общероссийские переменные.</w:t>
      </w:r>
    </w:p>
    <w:p>
      <w:pPr>
        <w:pStyle w:val="a0"/>
      </w:pPr>
      <w:r>
        <w:t xml:space="preserve">Решая поставленную задачу, настоящая работа вносит вклад в несколько направлений литературы.</w:t>
      </w:r>
    </w:p>
    <w:p>
      <w:pPr>
        <w:pStyle w:val="a0"/>
      </w:pPr>
      <w:r>
        <w:t xml:space="preserve">Во-первых, автор получает оценки фискального мультипликатора для каждого региона России в отдельности, в то время как существующие работы оценивают его только на национальном уровне</w:t>
      </w:r>
      <w:r>
        <w:t xml:space="preserve"> </w:t>
      </w:r>
      <w:r>
        <w:t xml:space="preserve">(Зяблицкий, 2020, прил. 1)</w:t>
      </w:r>
      <w:r>
        <w:t xml:space="preserve">. Пиковый медианный отклик регионального выпуска на шок госрасходов, эквивалентный 1% ВРП, наблюдается через 2 месяца после шока и достигает 1.09%. Более сильный мультипликативный эффект наблюдается в регионах с высоким подушевым ВРП и уровнем неравенства по доходам, а также более высокой долей занятости на крупных предприятиях.</w:t>
      </w:r>
    </w:p>
    <w:p>
      <w:pPr>
        <w:pStyle w:val="a0"/>
      </w:pPr>
      <w:r>
        <w:t xml:space="preserve">Во-вторых, в работе оценивается величина спилловер-эффектов фискальной политики, т. е. воздействия фискального стимула в одном регионе на экономику его соседей. Величина этих эффектов зависит как от размера и структуры ВРП, так и от интенсивности внешней торговли, а также состояния регионального рынка труда. Эти результаты подтверждают и расширяют выводы предыдущих работ об асимметричности пространственных эффектов между регионами России</w:t>
      </w:r>
      <w:r>
        <w:t xml:space="preserve"> </w:t>
      </w:r>
      <w:r>
        <w:t xml:space="preserve">(Демидова, 2014)</w:t>
      </w:r>
      <w:r>
        <w:t xml:space="preserve">.</w:t>
      </w:r>
    </w:p>
    <w:p>
      <w:pPr>
        <w:pStyle w:val="a0"/>
      </w:pPr>
      <w:r>
        <w:t xml:space="preserve">Наконец, результаты исследования подтверждают связь между эффективностью макроэкономической политики и внутри- и межрегиональным неравенством. В работе показано, что эффективность бюджетных расходов зависит от уровня экономического развития региона и дифференциации доходов домохозяйств. Выводы схожего характера были получены ранее при анализе трансмиссии монетарной политики в России</w:t>
      </w:r>
      <w:r>
        <w:t xml:space="preserve"> </w:t>
      </w:r>
      <w:r>
        <w:t xml:space="preserve">(Зверева и др., 2024; Зверева, Скуратова, 2024; Напалков и др., 2021)</w:t>
      </w:r>
      <w:r>
        <w:t xml:space="preserve">.</w:t>
      </w:r>
    </w:p>
    <w:p>
      <w:pPr>
        <w:pStyle w:val="a0"/>
      </w:pPr>
      <w:r>
        <w:t xml:space="preserve">Примечание: исследование осуществлено в рамках Программы фундаментальных исследований НИУ ВШЭ в 2025 г. Автор выражает благодарность коллективу Международной лаборатории макроэкономического анализа и Департамента теоретической экономики НИУ ВШЭ.</w:t>
      </w:r>
    </w:p>
    <w:bookmarkEnd w:id="23"/>
    <w:bookmarkStart w:id="45" w:name="список-использованной-литературы"/>
    <w:p>
      <w:pPr>
        <w:pStyle w:val="1"/>
      </w:pPr>
      <w:r>
        <w:t xml:space="preserve">Список использованной литературы</w:t>
      </w:r>
    </w:p>
    <w:bookmarkStart w:id="44" w:name="refs"/>
    <w:bookmarkStart w:id="25" w:name="X6fb1295577a44cdb09c8d518e34dab1d23c89ec"/>
    <w:p>
      <w:pPr>
        <w:pStyle w:val="a8"/>
      </w:pPr>
      <w:r>
        <w:t xml:space="preserve">Chodorow-Reich, G. (2019). Geographic</w:t>
      </w:r>
      <w:r>
        <w:t xml:space="preserve"> </w:t>
      </w:r>
      <w:r>
        <w:t xml:space="preserve">Cross-Sectional Fiscal Spending Multipliers</w:t>
      </w:r>
      <w:r>
        <w:t xml:space="preserve">:</w:t>
      </w:r>
      <w:r>
        <w:t xml:space="preserve"> </w:t>
      </w:r>
      <w:r>
        <w:t xml:space="preserve">What Have We Learned</w:t>
      </w:r>
      <w:r>
        <w:t xml:space="preserve">?</w:t>
      </w:r>
      <w:r>
        <w:t xml:space="preserve"> </w:t>
      </w:r>
      <w:r>
        <w:rPr>
          <w:iCs/>
          <w:i/>
        </w:rPr>
        <w:t xml:space="preserve">American Economic Journal: Economic Policy</w:t>
      </w:r>
      <w:r>
        <w:t xml:space="preserve">,</w:t>
      </w:r>
      <w:r>
        <w:t xml:space="preserve"> </w:t>
      </w:r>
      <w:r>
        <w:rPr>
          <w:iCs/>
          <w:i/>
        </w:rPr>
        <w:t xml:space="preserve">11</w:t>
      </w:r>
      <w:r>
        <w:t xml:space="preserve">(2), 1–34.</w:t>
      </w:r>
      <w:r>
        <w:t xml:space="preserve"> </w:t>
      </w:r>
      <w:hyperlink r:id="rId24">
        <w:r>
          <w:rPr>
            <w:rStyle w:val="ae"/>
          </w:rPr>
          <w:t xml:space="preserve">https://doi.org/10.1257/pol.20160465</w:t>
        </w:r>
      </w:hyperlink>
    </w:p>
    <w:bookmarkEnd w:id="25"/>
    <w:bookmarkStart w:id="27" w:name="ref-nakamuraFiscalStimulusMonetary2014"/>
    <w:p>
      <w:pPr>
        <w:pStyle w:val="a8"/>
      </w:pPr>
      <w:r>
        <w:t xml:space="preserve">Nakamura, E., Steinsson, J. (2014). Fiscal</w:t>
      </w:r>
      <w:r>
        <w:t xml:space="preserve"> </w:t>
      </w:r>
      <w:r>
        <w:t xml:space="preserve">Stimulus</w:t>
      </w:r>
      <w:r>
        <w:t xml:space="preserve"> </w:t>
      </w:r>
      <w:r>
        <w:t xml:space="preserve">in a</w:t>
      </w:r>
      <w:r>
        <w:t xml:space="preserve"> </w:t>
      </w:r>
      <w:r>
        <w:t xml:space="preserve">Monetary Union</w:t>
      </w:r>
      <w:r>
        <w:t xml:space="preserve">:</w:t>
      </w:r>
      <w:r>
        <w:t xml:space="preserve"> </w:t>
      </w:r>
      <w:r>
        <w:t xml:space="preserve">Evidence</w:t>
      </w:r>
      <w:r>
        <w:t xml:space="preserve"> </w:t>
      </w:r>
      <w:r>
        <w:t xml:space="preserve">from</w:t>
      </w:r>
      <w:r>
        <w:t xml:space="preserve"> </w:t>
      </w:r>
      <w:r>
        <w:t xml:space="preserve">US Regions</w:t>
      </w:r>
      <w:r>
        <w:t xml:space="preserve">.</w:t>
      </w:r>
      <w:r>
        <w:t xml:space="preserve"> </w:t>
      </w:r>
      <w:r>
        <w:rPr>
          <w:iCs/>
          <w:i/>
        </w:rPr>
        <w:t xml:space="preserve">American Economic Review</w:t>
      </w:r>
      <w:r>
        <w:t xml:space="preserve">,</w:t>
      </w:r>
      <w:r>
        <w:t xml:space="preserve"> </w:t>
      </w:r>
      <w:r>
        <w:rPr>
          <w:iCs/>
          <w:i/>
        </w:rPr>
        <w:t xml:space="preserve">104</w:t>
      </w:r>
      <w:r>
        <w:t xml:space="preserve">(3), 753–792.</w:t>
      </w:r>
      <w:r>
        <w:t xml:space="preserve"> </w:t>
      </w:r>
      <w:hyperlink r:id="rId26">
        <w:r>
          <w:rPr>
            <w:rStyle w:val="ae"/>
          </w:rPr>
          <w:t xml:space="preserve">https://doi.org/10.1257/aer.104.3.753</w:t>
        </w:r>
      </w:hyperlink>
    </w:p>
    <w:bookmarkEnd w:id="27"/>
    <w:bookmarkStart w:id="29" w:name="ref-rameyCanGovernmentPurchases2011"/>
    <w:p>
      <w:pPr>
        <w:pStyle w:val="a8"/>
      </w:pPr>
      <w:r>
        <w:t xml:space="preserve">Ramey, V. A. (2011). Can</w:t>
      </w:r>
      <w:r>
        <w:t xml:space="preserve"> </w:t>
      </w:r>
      <w:r>
        <w:t xml:space="preserve">Government Purchases Stimulate</w:t>
      </w:r>
      <w:r>
        <w:t xml:space="preserve"> </w:t>
      </w:r>
      <w:r>
        <w:t xml:space="preserve">the</w:t>
      </w:r>
      <w:r>
        <w:t xml:space="preserve"> </w:t>
      </w:r>
      <w:r>
        <w:t xml:space="preserve">Economy</w:t>
      </w:r>
      <w:r>
        <w:t xml:space="preserve">?</w:t>
      </w:r>
      <w:r>
        <w:t xml:space="preserve"> </w:t>
      </w:r>
      <w:r>
        <w:rPr>
          <w:iCs/>
          <w:i/>
        </w:rPr>
        <w:t xml:space="preserve">Journal of Economic Literature</w:t>
      </w:r>
      <w:r>
        <w:t xml:space="preserve">,</w:t>
      </w:r>
      <w:r>
        <w:t xml:space="preserve"> </w:t>
      </w:r>
      <w:r>
        <w:rPr>
          <w:iCs/>
          <w:i/>
        </w:rPr>
        <w:t xml:space="preserve">49</w:t>
      </w:r>
      <w:r>
        <w:t xml:space="preserve">(3), 673–685.</w:t>
      </w:r>
      <w:r>
        <w:t xml:space="preserve"> </w:t>
      </w:r>
      <w:hyperlink r:id="rId28">
        <w:r>
          <w:rPr>
            <w:rStyle w:val="ae"/>
          </w:rPr>
          <w:t xml:space="preserve">https://doi.org/10.1257/jel.49.3.673</w:t>
        </w:r>
      </w:hyperlink>
    </w:p>
    <w:bookmarkEnd w:id="29"/>
    <w:bookmarkStart w:id="31" w:name="X1a104a2be5df47abae6a8fe936bd6635cdf5baf"/>
    <w:p>
      <w:pPr>
        <w:pStyle w:val="a8"/>
      </w:pPr>
      <w:r>
        <w:t xml:space="preserve">Демидова, О. А. (2014). Пространственно – авторегрессионная модель для двух групп взаимосвязанных регионов (на примере восточной и западной части России).</w:t>
      </w:r>
      <w:r>
        <w:t xml:space="preserve"> </w:t>
      </w:r>
      <w:r>
        <w:rPr>
          <w:iCs/>
          <w:i/>
        </w:rPr>
        <w:t xml:space="preserve">Прикладная эконометрика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(2), 19–35.</w:t>
      </w:r>
      <w:r>
        <w:t xml:space="preserve"> </w:t>
      </w:r>
      <w:hyperlink r:id="rId30">
        <w:r>
          <w:rPr>
            <w:rStyle w:val="ae"/>
          </w:rPr>
          <w:t xml:space="preserve">https://publications.hse.ru/articles/publications.hse.ru/articles/120990566</w:t>
        </w:r>
      </w:hyperlink>
    </w:p>
    <w:bookmarkEnd w:id="31"/>
    <w:bookmarkStart w:id="33" w:name="X8a1866aa51ce4cd81f9f44dfa9549ca1a29a244"/>
    <w:p>
      <w:pPr>
        <w:pStyle w:val="a8"/>
      </w:pPr>
      <w:r>
        <w:t xml:space="preserve">Демидова, О. А., Иванов, Д. С. (2016). Модели экономического роста с неоднородными пространственными эффектами (на примере российских регионов).</w:t>
      </w:r>
      <w:r>
        <w:t xml:space="preserve"> </w:t>
      </w:r>
      <w:r>
        <w:rPr>
          <w:iCs/>
          <w:i/>
        </w:rPr>
        <w:t xml:space="preserve">Экономический журнал Высшей школы экономики</w:t>
      </w:r>
      <w:r>
        <w:t xml:space="preserve">,</w:t>
      </w:r>
      <w:r>
        <w:t xml:space="preserve"> </w:t>
      </w:r>
      <w:r>
        <w:rPr>
          <w:iCs/>
          <w:i/>
        </w:rPr>
        <w:t xml:space="preserve">20</w:t>
      </w:r>
      <w:r>
        <w:t xml:space="preserve">(1), 52–75.</w:t>
      </w:r>
      <w:r>
        <w:t xml:space="preserve"> </w:t>
      </w:r>
      <w:hyperlink r:id="rId32">
        <w:r>
          <w:rPr>
            <w:rStyle w:val="ae"/>
          </w:rPr>
          <w:t xml:space="preserve">https://publications.hse.ru/articles/publications.hse.ru/articles/181143290</w:t>
        </w:r>
      </w:hyperlink>
    </w:p>
    <w:bookmarkEnd w:id="33"/>
    <w:bookmarkStart w:id="35" w:name="ref-demidovaGosudarstvennyeRashodyNa2021"/>
    <w:p>
      <w:pPr>
        <w:pStyle w:val="a8"/>
      </w:pPr>
      <w:r>
        <w:t xml:space="preserve">Демидова, О. А., Каяшева, Е. В., Демьяненко, А. В. (2021). Государственные расходы на здравоохранение и экономический рост в России: региональный аспект.</w:t>
      </w:r>
      <w:r>
        <w:t xml:space="preserve"> </w:t>
      </w:r>
      <w:r>
        <w:rPr>
          <w:iCs/>
          <w:i/>
        </w:rPr>
        <w:t xml:space="preserve">Пространственная эконометрика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(1), 97–122.</w:t>
      </w:r>
      <w:r>
        <w:t xml:space="preserve"> </w:t>
      </w:r>
      <w:hyperlink r:id="rId34">
        <w:r>
          <w:rPr>
            <w:rStyle w:val="ae"/>
          </w:rPr>
          <w:t xml:space="preserve">https://doi.org/10.14530/se.2021.1.097-122</w:t>
        </w:r>
      </w:hyperlink>
    </w:p>
    <w:bookmarkEnd w:id="35"/>
    <w:bookmarkStart w:id="37" w:name="X1381da7e7dcb7230a61952d407036e65f389692"/>
    <w:p>
      <w:pPr>
        <w:pStyle w:val="a8"/>
      </w:pPr>
      <w:r>
        <w:t xml:space="preserve">Зверева, В. А., Демидова, О. А., А, К. Д., Мясников, А. А. (2024). Влияние внутрирегионального неравенства по доходам на работу трансмиссионного механизма денежно-кредитной политики Банка России.</w:t>
      </w:r>
      <w:r>
        <w:t xml:space="preserve"> </w:t>
      </w:r>
      <w:r>
        <w:rPr>
          <w:iCs/>
          <w:i/>
        </w:rPr>
        <w:t xml:space="preserve">Деньги и кредит</w:t>
      </w:r>
      <w:r>
        <w:t xml:space="preserve">,</w:t>
      </w:r>
      <w:r>
        <w:t xml:space="preserve"> </w:t>
      </w:r>
      <w:r>
        <w:rPr>
          <w:iCs/>
          <w:i/>
        </w:rPr>
        <w:t xml:space="preserve">83</w:t>
      </w:r>
      <w:r>
        <w:t xml:space="preserve">(1), 3–31.</w:t>
      </w:r>
      <w:r>
        <w:t xml:space="preserve"> </w:t>
      </w:r>
      <w:hyperlink r:id="rId36">
        <w:r>
          <w:rPr>
            <w:rStyle w:val="ae"/>
          </w:rPr>
          <w:t xml:space="preserve">https://publications.hse.ru/articles/publications.hse.ru/articles/909673909</w:t>
        </w:r>
      </w:hyperlink>
    </w:p>
    <w:bookmarkEnd w:id="37"/>
    <w:bookmarkStart w:id="39" w:name="ref-zverevaReakciyaBankovskihStavok2024"/>
    <w:p>
      <w:pPr>
        <w:pStyle w:val="a8"/>
      </w:pPr>
      <w:r>
        <w:t xml:space="preserve">Зверева, В. А., Скуратова, А. В. (2024). Реакция Банковских Ставок На Изменение Ключевой Ставки</w:t>
      </w:r>
      <w:r>
        <w:t xml:space="preserve"> </w:t>
      </w:r>
      <w:r>
        <w:t xml:space="preserve">Банка России</w:t>
      </w:r>
      <w:r>
        <w:t xml:space="preserve"> </w:t>
      </w:r>
      <w:r>
        <w:t xml:space="preserve">в Условиях Региональной Неоднородности (Оценки На Панельных Данных).</w:t>
      </w:r>
      <w:r>
        <w:t xml:space="preserve"> </w:t>
      </w:r>
      <w:r>
        <w:rPr>
          <w:iCs/>
          <w:i/>
        </w:rPr>
        <w:t xml:space="preserve">Банк России, Серия докладов об экономических исследованиях</w:t>
      </w:r>
      <w:r>
        <w:t xml:space="preserve">,</w:t>
      </w:r>
      <w:r>
        <w:t xml:space="preserve"> </w:t>
      </w:r>
      <w:r>
        <w:rPr>
          <w:iCs/>
          <w:i/>
        </w:rPr>
        <w:t xml:space="preserve">129</w:t>
      </w:r>
      <w:r>
        <w:t xml:space="preserve">.</w:t>
      </w:r>
      <w:r>
        <w:t xml:space="preserve"> </w:t>
      </w:r>
      <w:hyperlink r:id="rId38">
        <w:r>
          <w:rPr>
            <w:rStyle w:val="ae"/>
          </w:rPr>
          <w:t xml:space="preserve">https://www.cbr.ru/StaticHtml/File/161845/wp_129_2.pdf</w:t>
        </w:r>
      </w:hyperlink>
    </w:p>
    <w:bookmarkEnd w:id="39"/>
    <w:bookmarkStart w:id="41" w:name="X3653e12bb23af2e91aac3e064e5af587e4852d1"/>
    <w:p>
      <w:pPr>
        <w:pStyle w:val="a8"/>
      </w:pPr>
      <w:r>
        <w:t xml:space="preserve">Зяблицкий, И. Е. (2020). Оценка фискальных мультипликаторов в российской экономике.</w:t>
      </w:r>
      <w:r>
        <w:t xml:space="preserve"> </w:t>
      </w:r>
      <w:r>
        <w:rPr>
          <w:iCs/>
          <w:i/>
        </w:rPr>
        <w:t xml:space="preserve">Экономический Журнал Высшей Школы Экономики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(2), 268–294.</w:t>
      </w:r>
      <w:r>
        <w:t xml:space="preserve"> </w:t>
      </w:r>
      <w:hyperlink r:id="rId40">
        <w:r>
          <w:rPr>
            <w:rStyle w:val="ae"/>
          </w:rPr>
          <w:t xml:space="preserve">https://doi.org/10.17323/1813-8691-2020-24-2-268-294</w:t>
        </w:r>
      </w:hyperlink>
    </w:p>
    <w:bookmarkEnd w:id="41"/>
    <w:bookmarkStart w:id="43" w:name="ref-napalkovRazlichiyaEffektahEdinoy2021"/>
    <w:p>
      <w:pPr>
        <w:pStyle w:val="a8"/>
      </w:pPr>
      <w:r>
        <w:t xml:space="preserve">Напалков, В., Новак, А., Шульгин, А. (2021). Различия в эффектах единой денежно-кредитной политики: случай регионов России.</w:t>
      </w:r>
      <w:r>
        <w:t xml:space="preserve"> </w:t>
      </w:r>
      <w:r>
        <w:rPr>
          <w:iCs/>
          <w:i/>
        </w:rPr>
        <w:t xml:space="preserve">Деньги и кредит</w:t>
      </w:r>
      <w:r>
        <w:t xml:space="preserve">,</w:t>
      </w:r>
      <w:r>
        <w:t xml:space="preserve"> </w:t>
      </w:r>
      <w:r>
        <w:rPr>
          <w:iCs/>
          <w:i/>
        </w:rPr>
        <w:t xml:space="preserve">80</w:t>
      </w:r>
      <w:r>
        <w:t xml:space="preserve">(1), 3–45.</w:t>
      </w:r>
      <w:r>
        <w:t xml:space="preserve"> </w:t>
      </w:r>
      <w:hyperlink r:id="rId42">
        <w:r>
          <w:rPr>
            <w:rStyle w:val="ae"/>
          </w:rPr>
          <w:t xml:space="preserve">https://doi.org/10.31477/rjmf.202101.03</w:t>
        </w:r>
      </w:hyperlink>
    </w:p>
    <w:bookmarkEnd w:id="43"/>
    <w:bookmarkEnd w:id="44"/>
    <w:bookmarkEnd w:id="45"/>
    <w:sectPr w:rsidR="000027DF" w:rsidRPr="00EA3ABF" w:rsidSect="00084E93">
      <w:footerReference r:id="rId10" w:type="even"/>
      <w:footerReference r:id="rId9" w:type="default"/>
      <w:type w:val="continuous"/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1342282442"/>
      <w:docPartObj>
        <w:docPartGallery w:val="Page Numbers (Bottom of Page)"/>
        <w:docPartUnique/>
      </w:docPartObj>
    </w:sdtPr>
    <w:sdtContent>
      <w:p w14:paraId="3F026D96" w14:textId="77777777" w:rsidR="001416C9" w:rsidRDefault="00000000" w:rsidP="00084E93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 w:rsidR="00CB4F7F">
          <w:rPr>
            <w:rStyle w:val="af3"/>
            <w:noProof/>
          </w:rPr>
          <w:t>0</w:t>
        </w:r>
        <w:r>
          <w:rPr>
            <w:rStyle w:val="af3"/>
          </w:rPr>
          <w:fldChar w:fldCharType="end"/>
        </w:r>
      </w:p>
    </w:sdtContent>
  </w:sdt>
  <w:p w14:paraId="5B32EDDB" w14:textId="77777777" w:rsidR="001416C9" w:rsidRDefault="001416C9" w:rsidP="00676DF8">
    <w:pPr>
      <w:pStyle w:val="af1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928616856"/>
      <w:docPartObj>
        <w:docPartGallery w:val="Page Numbers (Bottom of Page)"/>
        <w:docPartUnique/>
      </w:docPartObj>
    </w:sdtPr>
    <w:sdtContent>
      <w:p w14:paraId="49608AD9" w14:textId="77777777" w:rsidR="001416C9" w:rsidRDefault="00000000" w:rsidP="00314E44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2</w:t>
        </w:r>
        <w:r>
          <w:rPr>
            <w:rStyle w:val="af3"/>
          </w:rPr>
          <w:fldChar w:fldCharType="end"/>
        </w:r>
      </w:p>
    </w:sdtContent>
  </w:sdt>
  <w:p w14:paraId="17BB77AF" w14:textId="77777777" w:rsidR="001416C9" w:rsidRDefault="001416C9" w:rsidP="00676DF8">
    <w:pPr>
      <w:pStyle w:val="af1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Контактная</w:t>
      </w:r>
      <w:r>
        <w:t xml:space="preserve"> </w:t>
      </w:r>
      <w:r>
        <w:t xml:space="preserve">информация:</w:t>
      </w:r>
      <w:r>
        <w:t xml:space="preserve"> </w:t>
      </w:r>
      <w:r>
        <w:t xml:space="preserve">Гуленков</w:t>
      </w:r>
      <w:r>
        <w:t xml:space="preserve"> </w:t>
      </w:r>
      <w:r>
        <w:t xml:space="preserve">И.</w:t>
      </w:r>
      <w:r>
        <w:t xml:space="preserve"> </w:t>
      </w:r>
      <w:r>
        <w:t xml:space="preserve">В.,</w:t>
      </w:r>
      <w:r>
        <w:t xml:space="preserve"> </w:t>
      </w:r>
      <w:hyperlink r:id="rId21">
        <w:r>
          <w:rPr>
            <w:rStyle w:val="ae"/>
          </w:rPr>
          <w:t xml:space="preserve">igulenkov@hse.ru</w:t>
        </w:r>
      </w:hyperlink>
    </w:p>
  </w:footnote>
  <w:footnote w:id="22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осуществлено</w:t>
      </w:r>
      <w:r>
        <w:t xml:space="preserve"> </w:t>
      </w:r>
      <w:r>
        <w:t xml:space="preserve">в</w:t>
      </w:r>
      <w:r>
        <w:t xml:space="preserve"> </w:t>
      </w:r>
      <w:r>
        <w:t xml:space="preserve">рамках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фундаментальных</w:t>
      </w:r>
      <w:r>
        <w:t xml:space="preserve"> </w:t>
      </w:r>
      <w:r>
        <w:t xml:space="preserve">исследований</w:t>
      </w:r>
      <w:r>
        <w:t xml:space="preserve"> </w:t>
      </w:r>
      <w:r>
        <w:t xml:space="preserve">НИУ</w:t>
      </w:r>
      <w:r>
        <w:t xml:space="preserve"> </w:t>
      </w:r>
      <w:r>
        <w:t xml:space="preserve">ВШЭ</w:t>
      </w:r>
      <w:r>
        <w:t xml:space="preserve"> </w:t>
      </w:r>
      <w:r>
        <w:t xml:space="preserve">в</w:t>
      </w:r>
      <w:r>
        <w:t xml:space="preserve"> </w:t>
      </w:r>
      <w:r>
        <w:t xml:space="preserve">2025</w:t>
      </w:r>
      <w:r>
        <w:t xml:space="preserve"> </w:t>
      </w:r>
      <w:r>
        <w:t xml:space="preserve">г.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FAEA1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FD368736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00A99411"/>
    <w:multiLevelType w:val="multilevel"/>
    <w:tmpl w:val="BEE631D0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3">
    <w:nsid w:val="0BC657B3"/>
    <w:multiLevelType w:val="multilevel"/>
    <w:tmpl w:val="040C001D"/>
    <w:numStyleLink w:val="Defaultul"/>
  </w:abstractNum>
  <w:abstractNum w15:restartNumberingAfterBreak="0" w:abstractNumId="14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6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9">
    <w:nsid w:val="289B7C2A"/>
    <w:multiLevelType w:val="multilevel"/>
    <w:tmpl w:val="4B88F872"/>
    <w:numStyleLink w:val="Defaultol"/>
  </w:abstractNum>
  <w:abstractNum w15:restartNumberingAfterBreak="0" w:abstractNumId="2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pStyle w:val="4"/>
      <w:lvlText w:val="%1.%2.%3.%4."/>
      <w:lvlJc w:val="left"/>
      <w:pPr>
        <w:ind w:hanging="648" w:left="1728"/>
      </w:p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A207BFA"/>
    <w:multiLevelType w:val="hybridMultilevel"/>
    <w:tmpl w:val="FDC4FCDE"/>
    <w:lvl w:ilvl="0" w:tplc="B8ECBD0E">
      <w:start w:val="1"/>
      <w:numFmt w:val="decimal"/>
      <w:pStyle w:val="1"/>
      <w:lvlText w:val="%1."/>
      <w:lvlJc w:val="left"/>
      <w:pPr>
        <w:ind w:hanging="360" w:left="720"/>
      </w:pPr>
    </w:lvl>
    <w:lvl w:ilvl="1" w:tentative="1" w:tplc="04190019">
      <w:start w:val="1"/>
      <w:numFmt w:val="lowerLetter"/>
      <w:lvlText w:val="%2."/>
      <w:lvlJc w:val="left"/>
      <w:pPr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5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5"/>
  </w:num>
  <w:num w16cid:durableId="1911959498" w:numId="13">
    <w:abstractNumId w:val="24"/>
  </w:num>
  <w:num w16cid:durableId="1400664278" w:numId="14">
    <w:abstractNumId w:val="23"/>
  </w:num>
  <w:num w16cid:durableId="797575161" w:numId="15">
    <w:abstractNumId w:val="22"/>
  </w:num>
  <w:num w16cid:durableId="1332903906" w:numId="16">
    <w:abstractNumId w:val="16"/>
  </w:num>
  <w:num w16cid:durableId="293290679" w:numId="17">
    <w:abstractNumId w:val="17"/>
  </w:num>
  <w:num w16cid:durableId="204610571" w:numId="18">
    <w:abstractNumId w:val="28"/>
  </w:num>
  <w:num w16cid:durableId="218170936" w:numId="19">
    <w:abstractNumId w:val="21"/>
  </w:num>
  <w:num w16cid:durableId="1539315709" w:numId="20">
    <w:abstractNumId w:val="26"/>
  </w:num>
  <w:num w16cid:durableId="684096350" w:numId="21">
    <w:abstractNumId w:val="14"/>
  </w:num>
  <w:num w16cid:durableId="1375154319" w:numId="22">
    <w:abstractNumId w:val="18"/>
  </w:num>
  <w:num w16cid:durableId="489449184" w:numId="23">
    <w:abstractNumId w:val="20"/>
  </w:num>
  <w:num w16cid:durableId="701327074" w:numId="24">
    <w:abstractNumId w:val="13"/>
  </w:num>
  <w:num w16cid:durableId="1360856025" w:numId="25">
    <w:abstractNumId w:val="19"/>
  </w:num>
  <w:num w16cid:durableId="130446418" w:numId="26">
    <w:abstractNumId w:val="10"/>
  </w:num>
  <w:num w16cid:durableId="1727801492" w:numId="27">
    <w:abstractNumId w:val="11"/>
  </w:num>
  <w:num w16cid:durableId="1018626064" w:numId="28">
    <w:abstractNumId w:val="11"/>
  </w:num>
  <w:num w16cid:durableId="1630626448"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47685622"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98601548"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37331299" w:numId="32">
    <w:abstractNumId w:val="27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355469"/>
    <w:pPr>
      <w:jc w:val="both"/>
    </w:pPr>
    <w:rPr>
      <w:rFonts w:ascii="Times New Roman" w:hAnsi="Times New Roman"/>
    </w:rPr>
  </w:style>
  <w:style w:styleId="1" w:type="paragraph">
    <w:name w:val="heading 1"/>
    <w:basedOn w:val="a"/>
    <w:next w:val="a0"/>
    <w:uiPriority w:val="9"/>
    <w:qFormat/>
    <w:rsid w:val="005E56C9"/>
    <w:pPr>
      <w:keepNext/>
      <w:keepLines/>
      <w:numPr>
        <w:numId w:val="32"/>
      </w:numPr>
      <w:spacing w:after="0" w:before="480"/>
      <w:ind w:firstLine="0" w:left="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194285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194285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"/>
    <w:next w:val="a0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"/>
    <w:next w:val="a0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"/>
    <w:next w:val="a0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"/>
    <w:next w:val="a0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"/>
    <w:next w:val="a0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AB5355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a6" w:type="paragraph">
    <w:name w:val="Subtitle"/>
    <w:basedOn w:val="a5"/>
    <w:next w:val="a0"/>
    <w:qFormat/>
    <w:rsid w:val="009137D8"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944A99"/>
    <w:pPr>
      <w:keepNext/>
      <w:keepLines/>
      <w:jc w:val="both"/>
    </w:pPr>
    <w:rPr>
      <w:rFonts w:ascii="Times New Roman" w:hAnsi="Times New Roman"/>
    </w:r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rsid w:val="00EA3ABF"/>
    <w:pPr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a" w:type="paragraph">
    <w:name w:val="footnote text"/>
    <w:basedOn w:val="a"/>
    <w:uiPriority w:val="9"/>
    <w:unhideWhenUsed/>
    <w:qFormat/>
    <w:rsid w:val="00140655"/>
    <w:pPr>
      <w:contextualSpacing/>
    </w:pPr>
    <w:rPr>
      <w:sz w:val="20"/>
    </w:rPr>
  </w:style>
  <w:style w:customStyle="1" w:styleId="Table" w:type="table">
    <w:name w:val="Table"/>
    <w:semiHidden/>
    <w:unhideWhenUsed/>
    <w:qFormat/>
    <w:rsid w:val="0094654A"/>
    <w:pPr>
      <w:spacing w:after="0"/>
      <w:contextualSpacing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qFormat/>
    <w:rsid w:val="00B45A3F"/>
    <w:pPr>
      <w:keepNext/>
      <w:keepLines/>
      <w:jc w:val="left"/>
    </w:pPr>
    <w:rPr>
      <w:i w:val="0"/>
    </w:rPr>
  </w:style>
  <w:style w:customStyle="1" w:styleId="ImageCaption" w:type="paragraph">
    <w:name w:val="Image Caption"/>
    <w:basedOn w:val="ab"/>
    <w:qFormat/>
    <w:rsid w:val="00B45A3F"/>
    <w:pPr>
      <w:keepNext/>
      <w:keepLines/>
    </w:pPr>
    <w:rPr>
      <w:i w:val="0"/>
    </w:rPr>
  </w:style>
  <w:style w:customStyle="1" w:styleId="Figure" w:type="paragraph">
    <w:name w:val="Figure"/>
    <w:basedOn w:val="a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ac" w:type="character">
    <w:name w:val="Название объекта Знак"/>
    <w:basedOn w:val="a1"/>
    <w:link w:val="ab"/>
  </w:style>
  <w:style w:customStyle="1" w:styleId="VerbatimChar" w:type="character">
    <w:name w:val="Verbatim Char"/>
    <w:basedOn w:val="ac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sid w:val="009137D8"/>
    <w:rPr>
      <w:color w:val="C00000"/>
    </w:rPr>
  </w:style>
  <w:style w:styleId="af" w:type="paragraph">
    <w:name w:val="TOC Heading"/>
    <w:basedOn w:val="1"/>
    <w:next w:val="a0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a4" w:type="character">
    <w:name w:val="Основной текст Знак"/>
    <w:basedOn w:val="a1"/>
    <w:link w:val="a0"/>
    <w:rsid w:val="009137D8"/>
  </w:style>
  <w:style w:styleId="af0" w:type="paragraph">
    <w:name w:val="List Paragraph"/>
    <w:basedOn w:val="a"/>
    <w:rsid w:val="005E0C3D"/>
    <w:pPr>
      <w:ind w:left="720"/>
      <w:contextualSpacing/>
    </w:pPr>
  </w:style>
  <w:style w:customStyle="1" w:styleId="Defaultul" w:type="numbering">
    <w:name w:val="Default ul"/>
    <w:basedOn w:val="a3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3"/>
    <w:uiPriority w:val="99"/>
    <w:rsid w:val="005E0C3D"/>
    <w:pPr>
      <w:numPr>
        <w:numId w:val="23"/>
      </w:numPr>
    </w:pPr>
  </w:style>
  <w:style w:styleId="af1" w:type="paragraph">
    <w:name w:val="footer"/>
    <w:basedOn w:val="a"/>
    <w:link w:val="af2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af2" w:type="character">
    <w:name w:val="Нижний колонтитул Знак"/>
    <w:basedOn w:val="a1"/>
    <w:link w:val="af1"/>
    <w:rsid w:val="00676DF8"/>
  </w:style>
  <w:style w:styleId="af3" w:type="character">
    <w:name w:val="page number"/>
    <w:basedOn w:val="a1"/>
    <w:semiHidden/>
    <w:unhideWhenUsed/>
    <w:rsid w:val="00676DF8"/>
  </w:style>
  <w:style w:styleId="af4" w:type="paragraph">
    <w:name w:val="header"/>
    <w:basedOn w:val="a"/>
    <w:link w:val="af5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af5" w:type="character">
    <w:name w:val="Верхний колонтитул Знак"/>
    <w:basedOn w:val="a1"/>
    <w:link w:val="af4"/>
    <w:rsid w:val="003F65B2"/>
  </w:style>
  <w:style w:customStyle="1" w:styleId="SourceCode" w:type="paragraph">
    <w:name w:val="Source Code"/>
    <w:basedOn w:val="a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quation" w:type="paragraph">
    <w:name w:val="equation"/>
    <w:basedOn w:val="a0"/>
    <w:link w:val="equation0"/>
    <w:qFormat/>
    <w:rsid w:val="00A1203B"/>
    <w:pPr>
      <w:tabs>
        <w:tab w:pos="4703" w:val="center"/>
        <w:tab w:pos="9407" w:val="right"/>
      </w:tabs>
    </w:pPr>
  </w:style>
  <w:style w:customStyle="1" w:styleId="equation0" w:type="character">
    <w:name w:val="equation Знак"/>
    <w:basedOn w:val="a4"/>
    <w:link w:val="equation"/>
    <w:rsid w:val="00A1203B"/>
    <w:rPr>
      <w:rFonts w:ascii="Times New Roman" w:hAnsi="Times New Roman"/>
    </w:rPr>
  </w:style>
  <w:style w:styleId="af6" w:type="table">
    <w:name w:val="Table Grid"/>
    <w:basedOn w:val="a2"/>
    <w:rsid w:val="00F64D57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MyTable" w:type="table">
    <w:name w:val="My Table"/>
    <w:basedOn w:val="-1"/>
    <w:uiPriority w:val="99"/>
    <w:rsid w:val="00F64D57"/>
    <w:pPr>
      <w:spacing w:after="0"/>
      <w:contextualSpacing/>
      <w:jc w:val="left"/>
    </w:pPr>
    <w:rPr>
      <w:rFonts w:ascii="Times New Roman" w:hAnsi="Times New Roman"/>
      <w:sz w:val="20"/>
      <w:szCs w:val="20"/>
      <w:lang w:eastAsia="ru-RU" w:val="ru"/>
    </w:rPr>
    <w:tblPr>
      <w:tblBorders>
        <w:top w:color="auto" w:space="0" w:sz="4" w:val="single"/>
        <w:left w:color="auto" w:space="0" w:sz="0" w:val="none"/>
        <w:bottom w:color="auto" w:space="0" w:sz="4" w:val="single"/>
        <w:right w:color="auto" w:space="0" w:sz="0" w:val="none"/>
        <w:insideH w:color="auto" w:space="0" w:sz="0" w:val="none"/>
        <w:insideV w:color="auto" w:space="0" w:sz="0" w:val="non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-3" w:type="table">
    <w:name w:val="Table Web 3"/>
    <w:basedOn w:val="a2"/>
    <w:semiHidden/>
    <w:unhideWhenUsed/>
    <w:rsid w:val="00F64D57"/>
    <w:pPr>
      <w:jc w:val="both"/>
    </w:pPr>
    <w:tblPr>
      <w:tblCellSpacing w:type="dxa" w:w="20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-1" w:type="table">
    <w:name w:val="Table Web 1"/>
    <w:basedOn w:val="a2"/>
    <w:semiHidden/>
    <w:unhideWhenUsed/>
    <w:rsid w:val="00F64D57"/>
    <w:pPr>
      <w:jc w:val="both"/>
    </w:pPr>
    <w:tblPr>
      <w:tblCellSpacing w:type="dxa" w:w="2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26" Type="http://schemas.openxmlformats.org/officeDocument/2006/relationships/hyperlink" Target="https://doi.org/10.1257/aer.104.3.753" TargetMode="External"/>
<Relationship Id="rId28" Type="http://schemas.openxmlformats.org/officeDocument/2006/relationships/hyperlink" Target="https://doi.org/10.1257/jel.49.3.673" TargetMode="External"/>
<Relationship Id="rId24" Type="http://schemas.openxmlformats.org/officeDocument/2006/relationships/hyperlink" Target="https://doi.org/10.1257/pol.20160465" TargetMode="External"/>
<Relationship Id="rId34" Type="http://schemas.openxmlformats.org/officeDocument/2006/relationships/hyperlink" Target="https://doi.org/10.14530/se.2021.1.097-122" TargetMode="External"/>
<Relationship Id="rId40" Type="http://schemas.openxmlformats.org/officeDocument/2006/relationships/hyperlink" Target="https://doi.org/10.17323/1813-8691-2020-24-2-268-294" TargetMode="External"/>
<Relationship Id="rId42" Type="http://schemas.openxmlformats.org/officeDocument/2006/relationships/hyperlink" Target="https://doi.org/10.31477/rjmf.202101.03" TargetMode="External"/>
<Relationship Id="rId30" Type="http://schemas.openxmlformats.org/officeDocument/2006/relationships/hyperlink" Target="https://publications.hse.ru/articles/publications.hse.ru/articles/120990566" TargetMode="External"/>
<Relationship Id="rId32" Type="http://schemas.openxmlformats.org/officeDocument/2006/relationships/hyperlink" Target="https://publications.hse.ru/articles/publications.hse.ru/articles/181143290" TargetMode="External"/>
<Relationship Id="rId36" Type="http://schemas.openxmlformats.org/officeDocument/2006/relationships/hyperlink" Target="https://publications.hse.ru/articles/publications.hse.ru/articles/909673909" TargetMode="External"/>
<Relationship Id="rId38" Type="http://schemas.openxmlformats.org/officeDocument/2006/relationships/hyperlink" Target="https://www.cbr.ru/StaticHtml/File/161845/wp_129_2.pdf" TargetMode="External"/>
<Relationship Id="rId21" Type="http://schemas.openxmlformats.org/officeDocument/2006/relationships/hyperlink" Target="mailto:igulenkov@hse.ru" TargetMode="External"/>
</Relationships>

</file>

<file path=word/_rels/footnotes.xml.rels><?xml version="1.0" encoding="UTF-8" standalone="yes"?>

<Relationships  xmlns="http://schemas.openxmlformats.org/package/2006/relationships">
<Relationship Id="rId26" Type="http://schemas.openxmlformats.org/officeDocument/2006/relationships/hyperlink" Target="https://doi.org/10.1257/aer.104.3.753" TargetMode="External"/>
<Relationship Id="rId28" Type="http://schemas.openxmlformats.org/officeDocument/2006/relationships/hyperlink" Target="https://doi.org/10.1257/jel.49.3.673" TargetMode="External"/>
<Relationship Id="rId24" Type="http://schemas.openxmlformats.org/officeDocument/2006/relationships/hyperlink" Target="https://doi.org/10.1257/pol.20160465" TargetMode="External"/>
<Relationship Id="rId34" Type="http://schemas.openxmlformats.org/officeDocument/2006/relationships/hyperlink" Target="https://doi.org/10.14530/se.2021.1.097-122" TargetMode="External"/>
<Relationship Id="rId40" Type="http://schemas.openxmlformats.org/officeDocument/2006/relationships/hyperlink" Target="https://doi.org/10.17323/1813-8691-2020-24-2-268-294" TargetMode="External"/>
<Relationship Id="rId42" Type="http://schemas.openxmlformats.org/officeDocument/2006/relationships/hyperlink" Target="https://doi.org/10.31477/rjmf.202101.03" TargetMode="External"/>
<Relationship Id="rId30" Type="http://schemas.openxmlformats.org/officeDocument/2006/relationships/hyperlink" Target="https://publications.hse.ru/articles/publications.hse.ru/articles/120990566" TargetMode="External"/>
<Relationship Id="rId32" Type="http://schemas.openxmlformats.org/officeDocument/2006/relationships/hyperlink" Target="https://publications.hse.ru/articles/publications.hse.ru/articles/181143290" TargetMode="External"/>
<Relationship Id="rId36" Type="http://schemas.openxmlformats.org/officeDocument/2006/relationships/hyperlink" Target="https://publications.hse.ru/articles/publications.hse.ru/articles/909673909" TargetMode="External"/>
<Relationship Id="rId38" Type="http://schemas.openxmlformats.org/officeDocument/2006/relationships/hyperlink" Target="https://www.cbr.ru/StaticHtml/File/161845/wp_129_2.pdf" TargetMode="External"/>
<Relationship Id="rId21" Type="http://schemas.openxmlformats.org/officeDocument/2006/relationships/hyperlink" Target="mailto:igulenkov@hse.ru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Неоднородность влияния бюджетной политики на регионы России , </dc:title>
  <dc:creator>И. В. Гуленков. Департамент теоретической экономики, Международная лаборатория макроэкономического анализа, Национальный исследовательский университет “Высшая школа экономики”, Москва</dc:creator>
  <dc:language>ru</dc:language>
  <cp:keywords/>
  <dcterms:created xsi:type="dcterms:W3CDTF">2025-03-09T21:31:38Z</dcterms:created>
  <dcterms:modified xsi:type="dcterms:W3CDTF">2025-03-09T21:31:38Z</dcterms:modified>
  <cp:lastModifiedBy>rstudio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../Literature/RFS.bib</vt:lpwstr>
  </property>
  <property fmtid="{D5CDD505-2E9C-101B-9397-08002B2CF9AE}" pid="4" name="csl">
    <vt:lpwstr>../Technical/apa-no-ampersand.csl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