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Неоднородность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бюджетной</w:t>
      </w:r>
      <w:r>
        <w:t xml:space="preserve"> </w:t>
      </w:r>
      <w:r>
        <w:t xml:space="preserve">политики</w:t>
      </w:r>
      <w:r>
        <w:t xml:space="preserve"> </w:t>
      </w:r>
      <w:r>
        <w:t xml:space="preserve">на</w:t>
      </w:r>
      <w:r>
        <w:t xml:space="preserve"> </w:t>
      </w:r>
      <w:r>
        <w:t xml:space="preserve">регионы</w:t>
      </w:r>
      <w:r>
        <w:t xml:space="preserve"> </w:t>
      </w:r>
      <w:r>
        <w:t xml:space="preserve">России</w:t>
      </w:r>
      <w:r>
        <w:rPr>
          <w:rStyle w:val="ad"/>
        </w:rPr>
        <w:footnoteReference w:id="20"/>
      </w:r>
      <w:r>
        <w:t xml:space="preserve"> </w:t>
      </w:r>
      <w:r>
        <w:rPr>
          <w:vertAlign w:val="superscript"/>
        </w:rPr>
        <w:t xml:space="preserve">,</w:t>
      </w:r>
      <w:r>
        <w:t xml:space="preserve"> </w:t>
      </w:r>
      <w:r>
        <w:rPr>
          <w:rStyle w:val="ad"/>
        </w:rPr>
        <w:footnoteReference w:id="22"/>
      </w:r>
    </w:p>
    <w:p>
      <w:pPr>
        <w:pStyle w:val="Author"/>
      </w:pPr>
      <w:r>
        <w:rPr>
          <w:bCs/>
          <w:b/>
        </w:rPr>
        <w:t xml:space="preserve">И.</w:t>
      </w:r>
      <w:r>
        <w:rPr>
          <w:bCs/>
          <w:b/>
        </w:rPr>
        <w:t xml:space="preserve"> </w:t>
      </w:r>
      <w:r>
        <w:rPr>
          <w:bCs/>
          <w:b/>
        </w:rPr>
        <w:t xml:space="preserve">В.</w:t>
      </w:r>
      <w:r>
        <w:rPr>
          <w:bCs/>
          <w:b/>
        </w:rPr>
        <w:t xml:space="preserve"> </w:t>
      </w:r>
      <w:r>
        <w:rPr>
          <w:bCs/>
          <w:b/>
        </w:rPr>
        <w:t xml:space="preserve">Гуленков.</w:t>
      </w:r>
      <w:r>
        <w:t xml:space="preserve"> </w:t>
      </w:r>
      <w:r>
        <w:t xml:space="preserve">Департамент</w:t>
      </w:r>
      <w:r>
        <w:t xml:space="preserve"> </w:t>
      </w:r>
      <w:r>
        <w:t xml:space="preserve">теоретической</w:t>
      </w:r>
      <w:r>
        <w:t xml:space="preserve"> </w:t>
      </w:r>
      <w:r>
        <w:t xml:space="preserve">экономики,</w:t>
      </w:r>
      <w:r>
        <w:t xml:space="preserve"> </w:t>
      </w:r>
      <w:r>
        <w:t xml:space="preserve">Международная</w:t>
      </w:r>
      <w:r>
        <w:t xml:space="preserve"> </w:t>
      </w:r>
      <w:r>
        <w:t xml:space="preserve">лаборатория</w:t>
      </w:r>
      <w:r>
        <w:t xml:space="preserve"> </w:t>
      </w:r>
      <w:r>
        <w:t xml:space="preserve">макроэкономического</w:t>
      </w:r>
      <w:r>
        <w:t xml:space="preserve"> </w:t>
      </w:r>
      <w:r>
        <w:t xml:space="preserve">анализа,</w:t>
      </w:r>
      <w:r>
        <w:t xml:space="preserve"> </w:t>
      </w:r>
      <w:r>
        <w:t xml:space="preserve">Национальный</w:t>
      </w:r>
      <w:r>
        <w:t xml:space="preserve"> </w:t>
      </w:r>
      <w:r>
        <w:t xml:space="preserve">исследовательский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“</w:t>
      </w:r>
      <w:r>
        <w:t xml:space="preserve">Высшая</w:t>
      </w:r>
      <w:r>
        <w:t xml:space="preserve"> </w:t>
      </w:r>
      <w:r>
        <w:t xml:space="preserve">школа</w:t>
      </w:r>
      <w:r>
        <w:t xml:space="preserve"> </w:t>
      </w:r>
      <w:r>
        <w:t xml:space="preserve">экономики</w:t>
      </w:r>
      <w:r>
        <w:t xml:space="preserve">”</w:t>
      </w:r>
      <w:r>
        <w:t xml:space="preserve">,</w:t>
      </w:r>
      <w:r>
        <w:t xml:space="preserve"> </w:t>
      </w:r>
      <w:r>
        <w:t xml:space="preserve">Москва</w:t>
      </w:r>
    </w:p>
    <w:bookmarkStart w:id="50" w:name="X344f66594e6b803dceb59070618e1d21778f868"/>
    <w:p>
      <w:pPr>
        <w:pStyle w:val="1"/>
      </w:pPr>
      <w:r>
        <w:t xml:space="preserve">Приложение 1. Источники данных и построение показателей</w:t>
      </w:r>
    </w:p>
    <w:bookmarkStart w:id="31" w:name="Xd36a33756ea82850f221b38d47de5844fad1c54"/>
    <w:p>
      <w:pPr>
        <w:pStyle w:val="2"/>
      </w:pPr>
      <w:r>
        <w:t xml:space="preserve">Глобальные переменные и межрегиональная торговля</w:t>
      </w:r>
    </w:p>
    <w:p>
      <w:pPr>
        <w:pStyle w:val="FirstParagraph"/>
      </w:pPr>
      <w:r>
        <w:t xml:space="preserve">Данные о среднемесячном курсе рубля к доллару получены из ЕМИСС</w:t>
      </w:r>
      <w:r>
        <w:rPr>
          <w:rStyle w:val="ad"/>
        </w:rPr>
        <w:footnoteReference w:id="23"/>
      </w:r>
      <w:r>
        <w:t xml:space="preserve">. В качестве индикатора денежно-кредитной политики выбрана ставка RUONIA, являющаяся индикатором достижения Банком России своей операционной цели</w:t>
      </w:r>
      <w:r>
        <w:rPr>
          <w:rStyle w:val="ad"/>
        </w:rPr>
        <w:footnoteReference w:id="25"/>
      </w:r>
      <w:r>
        <w:t xml:space="preserve">. Ежедневные значения ставки усредняются до ежемесячного уровня арифметическим средним. В качестве индикатора внешних условий используется среднемесячная цена на нефть марки Urals, рассчитанная Департаментом развития и регулирования внешнеэкономической деятельности Минэкономразвития России</w:t>
      </w:r>
      <w:r>
        <w:rPr>
          <w:rStyle w:val="ad"/>
        </w:rPr>
        <w:footnoteReference w:id="27"/>
      </w:r>
      <w:r>
        <w:t xml:space="preserve">.</w:t>
      </w:r>
    </w:p>
    <w:p>
      <w:pPr>
        <w:pStyle w:val="a0"/>
      </w:pPr>
      <w:r>
        <w:t xml:space="preserve">Статистика торговли между регионами России по данным Росстата получена из Единого архива экономических и социологических данных ВШЭ</w:t>
      </w:r>
      <w:r>
        <w:rPr>
          <w:rStyle w:val="ad"/>
        </w:rPr>
        <w:footnoteReference w:id="29"/>
      </w:r>
      <w:r>
        <w:t xml:space="preserve">. Набор данных датируется 2016 годом. Статистика по ввозу-вывозу товаров продолжает публиковаться Росстатом и сейчас, однако в наборах данных за более поздние годы доступна информация только по торговле отдельными товарами. Существенная часть информации в разрезе отдельных товаров скрыта из-за ограничений, необходимых для сохранения конфиденциальности первичной статистической информации. По этой причине суммирование таких данных по отдельным товарам не представляется возможным. Получить агрегированные данные (сумму по всем товарам) во взаимодействии с Росстатом автору не удалось.</w:t>
      </w:r>
    </w:p>
    <w:p>
      <w:pPr>
        <w:pStyle w:val="a0"/>
      </w:pPr>
      <w:r>
        <w:t xml:space="preserve">Для расчёта весов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из исходных данных исключаются товарные потоки, направленные на экспорт за пределы России, а также потоки, классифицированные Росстатом как</w:t>
      </w:r>
      <w:r>
        <w:t xml:space="preserve"> </w:t>
      </w:r>
      <w:r>
        <w:t xml:space="preserve">“</w:t>
      </w:r>
      <w:r>
        <w:t xml:space="preserve">нераспределенные</w:t>
      </w:r>
      <w:r>
        <w:t xml:space="preserve">”</w:t>
      </w:r>
      <w:r>
        <w:t xml:space="preserve">. Затем для каждой пары регионов конструируется двусторонний объём торговли (сумма экспорта и импота). Получившаяся симметричная матрица нормируется так, чтобы сумма весов по столбцам была равна 1.</w:t>
      </w:r>
    </w:p>
    <w:bookmarkEnd w:id="31"/>
    <w:bookmarkStart w:id="40" w:name="бюджетная-статистика"/>
    <w:p>
      <w:pPr>
        <w:pStyle w:val="2"/>
      </w:pPr>
      <w:r>
        <w:t xml:space="preserve">Бюджетная статистика</w:t>
      </w:r>
    </w:p>
    <w:p>
      <w:pPr>
        <w:pStyle w:val="FirstParagraph"/>
      </w:pPr>
      <w:r>
        <w:t xml:space="preserve">Данные о расходах и доходах федерального бюджета получены с сайта Министерства Финансов России</w:t>
      </w:r>
      <w:r>
        <w:rPr>
          <w:rStyle w:val="ad"/>
        </w:rPr>
        <w:footnoteReference w:id="32"/>
      </w:r>
      <w:r>
        <w:t xml:space="preserve">. Для приведения к показателю в реальном выражении исходный ряд дефлирован с помощью общероссийского индекса потребительских цен (100 = среднее значение 2016 г.), сконструированного по данным Росстата</w:t>
      </w:r>
      <w:r>
        <w:rPr>
          <w:rStyle w:val="ad"/>
        </w:rPr>
        <w:footnoteReference w:id="34"/>
      </w:r>
      <w:r>
        <w:t xml:space="preserve">.</w:t>
      </w:r>
    </w:p>
    <w:p>
      <w:pPr>
        <w:pStyle w:val="a0"/>
      </w:pPr>
      <w:r>
        <w:t xml:space="preserve">Данные о расходах региональных бюджетов за период с января 2009 г. по февраль 2022 г. получены из отчётов Федерального Казначейства</w:t>
      </w:r>
      <w:r>
        <w:rPr>
          <w:rStyle w:val="ad"/>
        </w:rPr>
        <w:footnoteReference w:id="36"/>
      </w:r>
      <w:r>
        <w:t xml:space="preserve">, а с марта 2022 г. - из системы</w:t>
      </w:r>
      <w:r>
        <w:t xml:space="preserve"> </w:t>
      </w:r>
      <w:r>
        <w:t xml:space="preserve">“</w:t>
      </w:r>
      <w:r>
        <w:t xml:space="preserve">Электронный бюджет</w:t>
      </w:r>
      <w:r>
        <w:t xml:space="preserve">”</w:t>
      </w:r>
      <w:r>
        <w:rPr>
          <w:rStyle w:val="ad"/>
        </w:rPr>
        <w:footnoteReference w:id="38"/>
      </w:r>
      <w:r>
        <w:t xml:space="preserve">. В качестве показателя расходов выбрана строка</w:t>
      </w:r>
      <w:r>
        <w:t xml:space="preserve"> </w:t>
      </w:r>
      <w:r>
        <w:t xml:space="preserve">“</w:t>
      </w:r>
      <w:r>
        <w:t xml:space="preserve">Расходы бюджета - всего</w:t>
      </w:r>
      <w:r>
        <w:t xml:space="preserve">”</w:t>
      </w:r>
      <w:r>
        <w:t xml:space="preserve"> </w:t>
      </w:r>
      <w:r>
        <w:t xml:space="preserve">(код 960000). Показатели в реальном выражении получены путём дефлирования с помощью индекса потребительских цен для соответствующего субъекта.</w:t>
      </w:r>
    </w:p>
    <w:p>
      <w:pPr>
        <w:pStyle w:val="a0"/>
      </w:pPr>
      <w:r>
        <w:t xml:space="preserve">В распоряжении автора имеется более широкий набор данных о расходах и доходах (в разбивке по отдельным статьям) региональных бюджетов на месячном уровне с 2001 года, доступный по запросу.</w:t>
      </w:r>
    </w:p>
    <w:bookmarkEnd w:id="40"/>
    <w:bookmarkStart w:id="49" w:name="региональная-экономика"/>
    <w:p>
      <w:pPr>
        <w:pStyle w:val="2"/>
      </w:pPr>
      <w:r>
        <w:t xml:space="preserve">Региональная экономика</w:t>
      </w:r>
    </w:p>
    <w:p>
      <w:pPr>
        <w:pStyle w:val="FirstParagraph"/>
      </w:pPr>
      <w:r>
        <w:t xml:space="preserve">Ежемесячные показатели экономической динамики на региональном уровне рассчитаны на основе данных из приложения</w:t>
      </w:r>
      <w:r>
        <w:t xml:space="preserve"> </w:t>
      </w:r>
      <w:r>
        <w:t xml:space="preserve">“</w:t>
      </w:r>
      <w:r>
        <w:t xml:space="preserve">Некоторые статистические показатели социально-экономического положения субъектов Российской Федерации</w:t>
      </w:r>
      <w:r>
        <w:t xml:space="preserve">”</w:t>
      </w:r>
      <w:r>
        <w:t xml:space="preserve"> </w:t>
      </w:r>
      <w:r>
        <w:t xml:space="preserve">к публикациям Росстата</w:t>
      </w:r>
      <w:r>
        <w:t xml:space="preserve"> </w:t>
      </w:r>
      <w:r>
        <w:t xml:space="preserve">“</w:t>
      </w:r>
      <w:r>
        <w:t xml:space="preserve">Социально-экономическое положение России</w:t>
      </w:r>
      <w:r>
        <w:t xml:space="preserve">”</w:t>
      </w:r>
      <w:r>
        <w:t xml:space="preserve"> </w:t>
      </w:r>
      <w:r>
        <w:t xml:space="preserve">(СЭПР)</w:t>
      </w:r>
      <w:r>
        <w:rPr>
          <w:rStyle w:val="ad"/>
        </w:rPr>
        <w:footnoteReference w:id="41"/>
      </w:r>
      <w:r>
        <w:t xml:space="preserve">, уточнённых данных</w:t>
      </w:r>
      <w:r>
        <w:t xml:space="preserve"> </w:t>
      </w:r>
      <w:r>
        <w:t xml:space="preserve">“</w:t>
      </w:r>
      <w:r>
        <w:t xml:space="preserve">Мониторинга социально-экономического положения субъектов Российской Федерации</w:t>
      </w:r>
      <w:r>
        <w:t xml:space="preserve">”</w:t>
      </w:r>
      <w:r>
        <w:t xml:space="preserve"> </w:t>
      </w:r>
      <w:r>
        <w:t xml:space="preserve">(СЭПС)</w:t>
      </w:r>
      <w:r>
        <w:rPr>
          <w:rStyle w:val="ad"/>
        </w:rPr>
        <w:footnoteReference w:id="43"/>
      </w:r>
      <w:r>
        <w:t xml:space="preserve">, а также информации из ЕМИСС</w:t>
      </w:r>
      <w:r>
        <w:rPr>
          <w:rStyle w:val="ad"/>
        </w:rPr>
        <w:footnoteReference w:id="45"/>
      </w:r>
      <w:r>
        <w:t xml:space="preserve">.</w:t>
      </w:r>
    </w:p>
    <w:p>
      <w:pPr>
        <w:pStyle w:val="a0"/>
      </w:pPr>
      <w:r>
        <w:t xml:space="preserve">В настоящем исследовании используются следующие ряды:</w:t>
      </w:r>
    </w:p>
    <w:p>
      <w:pPr>
        <w:numPr>
          <w:ilvl w:val="0"/>
          <w:numId w:val="1001"/>
        </w:numPr>
        <w:pStyle w:val="Compact"/>
      </w:pPr>
      <w:r>
        <w:t xml:space="preserve">Индекс физического объёма розничной торговли (источник: расчёт на основе данных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физического объёма платных услуг населению (источник: расчёт на основе данных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промышленного производства (источник: расчёт на основе данных ЕМИСС,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физического объёма работ по виду деятельности</w:t>
      </w:r>
      <w:r>
        <w:t xml:space="preserve"> </w:t>
      </w:r>
      <w:r>
        <w:t xml:space="preserve">“</w:t>
      </w:r>
      <w:r>
        <w:t xml:space="preserve">Строительство</w:t>
      </w:r>
      <w:r>
        <w:t xml:space="preserve">”</w:t>
      </w:r>
      <w:r>
        <w:t xml:space="preserve"> </w:t>
      </w:r>
      <w:r>
        <w:t xml:space="preserve">(источник: расчёт на основе данных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потребительских цен (источник: расчёт на основе данных ЕМИСС)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В распоряжении автора имеется более широкий набор данных об этих и иных индикаторах экономической активности в регионах России на месячном уровне с середины 2000-х гг., полученный аналогичным образом и доступный по запросу.</w:t>
      </w:r>
    </w:p>
    <w:p>
      <w:pPr>
        <w:pStyle w:val="a0"/>
      </w:pPr>
      <w:r>
        <w:t xml:space="preserve">В российской статистической традиции индексы, отражающие динамику показателей, публикуются трёх видах: период к предыдущему периоду (м/м), период к аналогичному периоду предыдущего года (г/г), период к аналогичному периоду предыдущего года накопленным итогом. При этом индекс в базисной форме чаще всего не рассчитывается и не публикуется. В целях настоящей работы индексы в базисной форме (100 = среднее значение 2016 года) для показателей (1)-(3) получены расчётным методом.</w:t>
      </w:r>
    </w:p>
    <w:p>
      <w:pPr>
        <w:pStyle w:val="a0"/>
      </w:pPr>
      <w:r>
        <w:t xml:space="preserve">В общем случае получение индекса в базисной форме из цепных приростов м/м возможно путем последовательного перемножения цепных значений: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⋅</m:t>
                </m:r>
                <m:nary>
                  <m:naryPr>
                    <m:chr m:val="∏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t</m:t>
                    </m:r>
                  </m:sup>
                  <m:e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  <m:r>
                          <m:t>o</m:t>
                        </m:r>
                        <m:r>
                          <m:t>M</m:t>
                        </m:r>
                      </m:sup>
                    </m:sSubSup>
                  </m:e>
                </m:nary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I</m:t>
            </m:r>
          </m:e>
          <m:sub>
            <m:r>
              <m:t>i</m:t>
            </m:r>
          </m:sub>
          <m:sup>
            <m:r>
              <m:t>M</m:t>
            </m:r>
            <m:r>
              <m:t>o</m:t>
            </m:r>
            <m:r>
              <m:t>M</m:t>
            </m:r>
          </m:sup>
        </m:sSubSup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/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- значение цепного индекса (м/м),</w:t>
      </w:r>
      <w:r>
        <w:t xml:space="preserve"> </w:t>
      </w:r>
      <m:oMath>
        <m:sSubSup>
          <m:e>
            <m:r>
              <m:t>I</m:t>
            </m:r>
          </m:e>
          <m:sub>
            <m:r>
              <m:t>t</m:t>
            </m:r>
          </m:sub>
          <m:sup>
            <m:r>
              <m:t>B</m:t>
            </m:r>
          </m:sup>
        </m:sSubSup>
      </m:oMath>
      <w:r>
        <w:t xml:space="preserve"> </w:t>
      </w:r>
      <w:r>
        <w:t xml:space="preserve">- значение базисного индекса.</w:t>
      </w:r>
    </w:p>
    <w:p>
      <w:pPr>
        <w:pStyle w:val="a0"/>
      </w:pPr>
      <w:r>
        <w:t xml:space="preserve">Методология Росстата по расчёту большинства индексов предполагает регулярный пересмотр данных. В публикациях сборника СЭПР информация о пересмотрах ранее опубликованных данных не приводится. В мониторинге СЭПС Росстат приводит соответствующие ряды с учётом уточнений и корректировок. При этом мониторинг СЭПС содержит меньший набор показателей, зачастую не включает цепные индексы (м/м), а также ограничивается периодом с начала 2009 года. В условиях, когда доступ к наиболее актуальному винтажу данных отсутствует, применение формулы (1) не является корректным.</w:t>
      </w:r>
    </w:p>
    <w:p>
      <w:pPr>
        <w:pStyle w:val="a0"/>
      </w:pPr>
      <w:r>
        <w:t xml:space="preserve">Для решения этой проблемы используется следующий подход:</w:t>
      </w:r>
    </w:p>
    <w:p>
      <w:pPr>
        <w:numPr>
          <w:ilvl w:val="0"/>
          <w:numId w:val="1002"/>
        </w:numPr>
        <w:pStyle w:val="Compact"/>
      </w:pPr>
      <w:r>
        <w:t xml:space="preserve">Для каждого из показателей собираются опубликованные в сборниках СЭПР и мониторинге СЭПС значения темпов роста м/м и г/г (при наличии)</w:t>
      </w:r>
    </w:p>
    <w:p>
      <w:pPr>
        <w:numPr>
          <w:ilvl w:val="0"/>
          <w:numId w:val="1002"/>
        </w:numPr>
        <w:pStyle w:val="Compact"/>
      </w:pPr>
      <w:r>
        <w:t xml:space="preserve">К первым двенадцати значениям индексов м/м применяется формула (1), где значение</w:t>
      </w:r>
      <w:r>
        <w:t xml:space="preserve"> </w:t>
      </w:r>
      <m:oMath>
        <m:sSub>
          <m:e>
            <m:r>
              <m:t>I</m:t>
            </m:r>
          </m:e>
          <m:sub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принимается за</w:t>
      </w:r>
      <w:r>
        <w:t xml:space="preserve"> </w:t>
      </w:r>
      <m:oMath>
        <m:r>
          <m:t>100</m:t>
        </m:r>
      </m:oMath>
      <w:r>
        <w:t xml:space="preserve">. Результатом этой операции являются первые двенадцать значений базисного индекса</w:t>
      </w:r>
    </w:p>
    <w:p>
      <w:pPr>
        <w:numPr>
          <w:ilvl w:val="0"/>
          <w:numId w:val="1002"/>
        </w:numPr>
        <w:pStyle w:val="Compact"/>
      </w:pPr>
      <w:r>
        <w:t xml:space="preserve">Последующие значения базисного индекса рассчитываются с применением следующей формулы: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12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⋅</m:t>
                </m:r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</m:sub>
                  <m:sup>
                    <m:r>
                      <m:t>Y</m:t>
                    </m:r>
                    <m:r>
                      <m:t>o</m:t>
                    </m:r>
                    <m:r>
                      <m:t>Y</m:t>
                    </m:r>
                  </m:sup>
                </m:sSubSup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≥</m:t>
                </m:r>
                <m:r>
                  <m:t>13</m:t>
                </m:r>
              </m:e>
            </m:mr>
          </m:m>
        </m:oMath>
      </m:oMathPara>
    </w:p>
    <w:p>
      <w:pPr>
        <w:numPr>
          <w:ilvl w:val="0"/>
          <w:numId w:val="1000"/>
        </w:numPr>
        <w:pStyle w:val="Compact"/>
      </w:pPr>
      <w:r>
        <w:t xml:space="preserve">где</w:t>
      </w:r>
      <w:r>
        <w:t xml:space="preserve"> </w:t>
      </w:r>
      <m:oMath>
        <m:sSubSup>
          <m:e>
            <m:r>
              <m:t>I</m:t>
            </m:r>
          </m:e>
          <m:sub>
            <m:r>
              <m:t>t</m:t>
            </m:r>
          </m:sub>
          <m:sup>
            <m:r>
              <m:t>Y</m:t>
            </m:r>
            <m:r>
              <m:t>o</m:t>
            </m:r>
            <m:r>
              <m:t>Y</m:t>
            </m:r>
          </m:sup>
        </m:sSubSup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/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12</m:t>
            </m:r>
          </m:sub>
        </m:sSub>
      </m:oMath>
      <w:r>
        <w:t xml:space="preserve"> </w:t>
      </w:r>
      <w:r>
        <w:t xml:space="preserve">- значение индекса г/г</w:t>
      </w:r>
    </w:p>
    <w:p>
      <w:pPr>
        <w:numPr>
          <w:ilvl w:val="0"/>
          <w:numId w:val="1002"/>
        </w:numPr>
        <w:pStyle w:val="Compact"/>
      </w:pPr>
      <w:r>
        <w:t xml:space="preserve">Полученные базисный индекс нормируется на среднемесячное значение 2016 года: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I</m:t>
                        </m:r>
                      </m:e>
                    </m:acc>
                  </m:e>
                  <m:sub>
                    <m:r>
                      <m:t>t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B</m:t>
                        </m:r>
                      </m:sup>
                    </m:sSubSup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nor/>
                            <m:sty m:val="p"/>
                          </m:rPr>
                          <m:t>1M2016</m:t>
                        </m:r>
                      </m:sub>
                      <m:sup>
                        <m:r>
                          <m:t>k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nor/>
                            <m:sty m:val="p"/>
                          </m:rPr>
                          <m:t>12M2016</m:t>
                        </m:r>
                      </m:sup>
                      <m:e>
                        <m:sSubSup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  <m:sup>
                            <m:r>
                              <m:t>B</m:t>
                            </m:r>
                          </m:sup>
                        </m:sSubSup>
                      </m:e>
                    </m:nary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Описанный алгоритм позволяет получить базисные индексы существенно более высокого качества: они содержат меньше экстремальных значений, более чёткую сезонную волну, а также не приводят к искажению динамики показателя.</w:t>
      </w:r>
    </w:p>
    <w:p>
      <w:pPr>
        <w:pStyle w:val="a0"/>
      </w:pPr>
      <w:r>
        <w:t xml:space="preserve">Полученные индексы взвешиваются по долям соответствующих отраслей в ВРП для получения регионального индикатора экономической активности (прокси-ВРП). Доли соответствующих видов деятельности рассчитаны по данным о структуре ВРП</w:t>
      </w:r>
      <w:r>
        <w:rPr>
          <w:rStyle w:val="ad"/>
        </w:rPr>
        <w:footnoteReference w:id="47"/>
      </w:r>
      <w:r>
        <w:t xml:space="preserve"> </w:t>
      </w:r>
      <w:r>
        <w:t xml:space="preserve">следующим образом:</w:t>
      </w:r>
    </w:p>
    <w:p>
      <w:pPr>
        <w:numPr>
          <w:ilvl w:val="0"/>
          <w:numId w:val="1003"/>
        </w:numPr>
        <w:pStyle w:val="Compact"/>
      </w:pPr>
      <w:r>
        <w:t xml:space="preserve">Промышленность: разделы B (</w:t>
      </w:r>
      <w:r>
        <w:t xml:space="preserve">“</w:t>
      </w:r>
      <w:r>
        <w:t xml:space="preserve">Добыча полезных ископаемых</w:t>
      </w:r>
      <w:r>
        <w:t xml:space="preserve">”</w:t>
      </w:r>
      <w:r>
        <w:t xml:space="preserve">), C (</w:t>
      </w:r>
      <w:r>
        <w:t xml:space="preserve">“</w:t>
      </w:r>
      <w:r>
        <w:t xml:space="preserve">Обрабатывающие производства</w:t>
      </w:r>
      <w:r>
        <w:t xml:space="preserve">”</w:t>
      </w:r>
      <w:r>
        <w:t xml:space="preserve">), D (</w:t>
      </w:r>
      <w:r>
        <w:t xml:space="preserve">“</w:t>
      </w:r>
      <w:r>
        <w:t xml:space="preserve">Обеспечение электрической энергией, газом и паром; кондиционирование воздуха</w:t>
      </w:r>
      <w:r>
        <w:t xml:space="preserve">”</w:t>
      </w:r>
      <w:r>
        <w:t xml:space="preserve">), E (</w:t>
      </w:r>
      <w:r>
        <w:t xml:space="preserve">“</w:t>
      </w:r>
      <w:r>
        <w:t xml:space="preserve">Водоснабжение; водоотведение, организация сбора и утилизация отходов, деятельность по ликвидации загрязнений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Строительство: раздел F (</w:t>
      </w:r>
      <w:r>
        <w:t xml:space="preserve">“</w:t>
      </w:r>
      <w:r>
        <w:t xml:space="preserve">Строительство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Розничная торговля: раздел G (</w:t>
      </w:r>
      <w:r>
        <w:t xml:space="preserve">“</w:t>
      </w:r>
      <w:r>
        <w:t xml:space="preserve">Торговля оптовая и розничная; ремонт автотранспортных средств и мотоциклов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Платные услуги: разделы L (</w:t>
      </w:r>
      <w:r>
        <w:t xml:space="preserve">“</w:t>
      </w:r>
      <w:r>
        <w:t xml:space="preserve">Деятельность по операциям с недвижимым имуществом</w:t>
      </w:r>
      <w:r>
        <w:t xml:space="preserve">”</w:t>
      </w:r>
      <w:r>
        <w:t xml:space="preserve">), M (</w:t>
      </w:r>
      <w:r>
        <w:t xml:space="preserve">“</w:t>
      </w:r>
      <w:r>
        <w:t xml:space="preserve">Деятельность профессиональная, научная и техническая</w:t>
      </w:r>
      <w:r>
        <w:t xml:space="preserve">”</w:t>
      </w:r>
      <w:r>
        <w:t xml:space="preserve">), R (</w:t>
      </w:r>
      <w:r>
        <w:t xml:space="preserve">“</w:t>
      </w:r>
      <w:r>
        <w:t xml:space="preserve">Деятельность в области культуры, спорта, организации досуга и развлечений</w:t>
      </w:r>
      <w:r>
        <w:t xml:space="preserve">”</w:t>
      </w:r>
      <w:r>
        <w:t xml:space="preserve">), S (</w:t>
      </w:r>
      <w:r>
        <w:t xml:space="preserve">“</w:t>
      </w:r>
      <w:r>
        <w:t xml:space="preserve">Предоставление прочих видов услуг</w:t>
      </w:r>
      <w:r>
        <w:t xml:space="preserve">”</w:t>
      </w:r>
      <w:r>
        <w:t xml:space="preserve">)</w:t>
      </w:r>
    </w:p>
    <w:bookmarkEnd w:id="49"/>
    <w:bookmarkEnd w:id="50"/>
    <w:bookmarkStart w:id="51" w:name="X0811ea7a121c65620d9208c9daf699ea9172581"/>
    <w:p>
      <w:pPr>
        <w:pStyle w:val="1"/>
      </w:pPr>
      <w:r>
        <w:t xml:space="preserve">Приложение 2. Величина оценённых региональных фискальных мультипликаторов, рекурсивная идентификация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607b1c7a-abfe-4543-8ccc-04007deaf901" w:name="OwnYReg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07b1c7a-abfe-4543-8ccc-04007deaf901"/>
      <w:r>
        <w:rPr>
          <w:rFonts/>
          <w:b w:val="true"/>
        </w:rPr>
        <w:t xml:space="preserve">.  </w:t>
      </w:r>
      <w:r>
        <w:t xml:space="preserve">Мультипликатор выпуска, шок расходов 1% ВРП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Отклик выпуска</w:t>
            </w:r>
          </w:p>
        </w:tc>
      </w:tr>
      <w:tr>
        <w:trPr>
          <w:trHeight w:val="624" w:hRule="auto"/>
          <w:tblHeader/>
        </w:trPr>
        header 2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Горизонт (месяцев)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Пиковый эффект</w:t>
            </w: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Регион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Горизонт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Адыгея (Адыгея)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1.32*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Алтайский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1.35*</w:t>
            </w:r>
          </w:p>
        </w:tc>
      </w:tr>
      <w:tr>
        <w:trPr>
          <w:trHeight w:val="6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Амурская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1.32*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Архангельская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</w:tr>
      <w:tr>
        <w:trPr>
          <w:trHeight w:val="6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Астраханская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Белгородская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2.67*</w:t>
            </w:r>
          </w:p>
        </w:tc>
      </w:tr>
      <w:tr>
        <w:trPr>
          <w:trHeight w:val="62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Брянская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Башкортостан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Бурятия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Чеченская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2.07*</w:t>
            </w:r>
          </w:p>
        </w:tc>
      </w:tr>
      <w:tr>
        <w:trPr>
          <w:trHeight w:val="58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Челябинская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Чувашская Республика - Чувашия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</w:tr>
      <w:tr>
        <w:trPr>
          <w:trHeight w:val="6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Дагестан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Еврейская автономная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</w:tr>
      <w:tr>
        <w:trPr>
          <w:trHeight w:val="6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Хабаровский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4.24*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Ингушетия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1.09*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Иркутская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trHeight w:val="58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Ивановская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1.70*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Калининградская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3.62*</w:t>
            </w:r>
          </w:p>
        </w:tc>
      </w:tr>
      <w:tr>
        <w:trPr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Кабардино-Балкарская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1.18*</w:t>
            </w:r>
          </w:p>
        </w:tc>
      </w:tr>
      <w:tr>
        <w:trPr>
          <w:trHeight w:val="62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Карачаево-Черкесская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Калужская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3.49*</w:t>
            </w:r>
          </w:p>
        </w:tc>
      </w:tr>
      <w:tr>
        <w:trPr>
          <w:trHeight w:val="6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Хакасия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Кировская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</w:tr>
      <w:tr>
        <w:trPr>
          <w:trHeight w:val="62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Калмыкия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Коми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</w:tr>
      <w:tr>
        <w:trPr>
          <w:trHeight w:val="62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Костромская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7.82*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Краснодарский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4.99*</w:t>
            </w:r>
          </w:p>
        </w:tc>
      </w:tr>
      <w:tr>
        <w:trPr>
          <w:trHeight w:val="62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Камчатский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1.64*</w:t>
            </w:r>
          </w:p>
        </w:tc>
      </w:tr>
      <w:tr>
        <w:trPr>
          <w:trHeight w:val="62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Курганская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Красноярский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3.08*</w:t>
            </w:r>
          </w:p>
        </w:tc>
      </w:tr>
      <w:tr>
        <w:trPr>
          <w:trHeight w:val="62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Кемеровская область - Кузбасс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</w:tr>
      <w:tr>
        <w:trPr>
          <w:trHeight w:val="61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Липецкая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5.53*</w:t>
            </w:r>
          </w:p>
        </w:tc>
      </w:tr>
      <w:tr>
        <w:trPr>
          <w:trHeight w:val="62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Мордовия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3.38*</w:t>
            </w:r>
          </w:p>
        </w:tc>
      </w:tr>
      <w:tr>
        <w:trPr>
          <w:trHeight w:val="62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Марий Эл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2.45*</w:t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Магаданская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3.04*</w:t>
            </w:r>
          </w:p>
        </w:tc>
      </w:tr>
      <w:tr>
        <w:trPr>
          <w:trHeight w:val="58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3.51*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Мурманская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7.93*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Москва столица Российской Федерации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</w:tr>
      <w:tr>
        <w:trPr>
          <w:trHeight w:val="62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Новосибирская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3.32*</w:t>
            </w:r>
          </w:p>
        </w:tc>
      </w:tr>
      <w:tr>
        <w:trPr>
          <w:trHeight w:val="62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Нижегородская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</w:tr>
      <w:tr>
        <w:trPr>
          <w:trHeight w:val="62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Оренбургская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trHeight w:val="58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3.81*</w:t>
            </w:r>
          </w:p>
        </w:tc>
      </w:tr>
      <w:tr>
        <w:trPr>
          <w:trHeight w:val="62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Пермский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3.28*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Приморский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2.38*</w:t>
            </w:r>
          </w:p>
        </w:tc>
      </w:tr>
      <w:tr>
        <w:trPr>
          <w:trHeight w:val="58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1.79*</w:t>
            </w:r>
          </w:p>
        </w:tc>
      </w:tr>
      <w:tr>
        <w:trPr>
          <w:trHeight w:val="58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Пензенская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1.67*</w:t>
            </w:r>
          </w:p>
        </w:tc>
      </w:tr>
      <w:tr>
        <w:trPr>
          <w:trHeight w:val="62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Алтай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Карелия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8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3.87*</w:t>
            </w:r>
          </w:p>
        </w:tc>
      </w:tr>
      <w:tr>
        <w:trPr>
          <w:trHeight w:val="58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Рязанская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5.61*</w:t>
            </w:r>
          </w:p>
        </w:tc>
      </w:tr>
      <w:tr>
        <w:trPr>
          <w:trHeight w:val="62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Самарская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8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Сахалинская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2.10*</w:t>
            </w:r>
          </w:p>
        </w:tc>
      </w:tr>
      <w:tr>
        <w:trPr>
          <w:trHeight w:val="58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Смоленская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-1.82*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Северная Осетия-Алания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</w:tr>
      <w:tr>
        <w:trPr>
          <w:trHeight w:val="62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Санкт-Петербург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</w:tr>
      <w:tr>
        <w:trPr>
          <w:trHeight w:val="62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Саратовская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-1.97*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Ставропольский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62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Свердловская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2.07*</w:t>
            </w:r>
          </w:p>
        </w:tc>
      </w:tr>
      <w:tr>
        <w:trPr>
          <w:trHeight w:val="58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Тамбовская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58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Тюменская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8.32*</w:t>
            </w:r>
          </w:p>
        </w:tc>
      </w:tr>
      <w:tr>
        <w:trPr>
          <w:trHeight w:val="58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</w:tr>
      <w:tr>
        <w:trPr>
          <w:trHeight w:val="62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Татарстан (Татарстан)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</w:tr>
      <w:tr>
        <w:trPr>
          <w:trHeight w:val="62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Тульская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4.58*</w:t>
            </w:r>
          </w:p>
        </w:tc>
      </w:tr>
      <w:tr>
        <w:trPr>
          <w:trHeight w:val="62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Тверская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</w:tr>
      <w:tr>
        <w:trPr>
          <w:trHeight w:val="62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Тыва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-1.85*</w:t>
            </w:r>
          </w:p>
        </w:tc>
      </w:tr>
      <w:tr>
        <w:trPr>
          <w:trHeight w:val="62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Удмуртская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2.73*</w:t>
            </w:r>
          </w:p>
        </w:tc>
      </w:tr>
      <w:tr>
        <w:trPr>
          <w:trHeight w:val="58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Ульяновская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</w:tr>
      <w:tr>
        <w:trPr>
          <w:trHeight w:val="61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Вологодская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</w:tr>
      <w:tr>
        <w:trPr>
          <w:trHeight w:val="62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Владимирская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</w:tr>
      <w:tr>
        <w:trPr>
          <w:trHeight w:val="62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Волгоградская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2.98*</w:t>
            </w:r>
          </w:p>
        </w:tc>
      </w:tr>
      <w:tr>
        <w:trPr>
          <w:trHeight w:val="62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Воронежская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  <w:tr>
        <w:trPr>
          <w:trHeight w:val="62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Саха (Якутия)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62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Ярославская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trHeight w:val="627" w:hRule="auto"/>
        </w:trPr>
        body79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Забайкальский край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1.17*</w:t>
            </w:r>
          </w:p>
        </w:tc>
      </w:tr>
    </w:tbl>
    <w:bookmarkEnd w:id="51"/>
    <w:bookmarkStart w:id="52" w:name="X30ca212cb2e5ce21ea04e11b9ccb33a21f017fe"/>
    <w:p>
      <w:pPr>
        <w:pStyle w:val="1"/>
      </w:pPr>
      <w:r>
        <w:t xml:space="preserve">Приложение 3. Величина оценённых спилловер-эффектов региональных бюджетных шоков, рекурсивная идентификация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da85ec8f-8d53-4431-8a03-505edcdfda5b" w:name="YSpill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a85ec8f-8d53-4431-8a03-505edcdfda5b"/>
      <w:r>
        <w:rPr>
          <w:rFonts/>
          <w:b w:val="true"/>
        </w:rPr>
        <w:t xml:space="preserve">.  </w:t>
      </w:r>
      <w:r>
        <w:t xml:space="preserve">Спилловер-эффекты на динамику выпуска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3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Spill-out эффект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Spill-in эффект</w:t>
            </w:r>
          </w:p>
        </w:tc>
      </w:tr>
      <w:tr>
        <w:trPr>
          <w:trHeight w:val="63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Регион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Адыгея (Адыгея)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Алтайский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Амурская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Архангельская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Астраханская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Белгородская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2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Брянская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Башкортостан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Бурятия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Чеченская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58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Челябинская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Чувашская Республика - Чувашия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Дагестан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Еврейская автономная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6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Хабаровский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Ингушетия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Иркутская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8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Ивановская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Калининградская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Кабардино-Балкарская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Карачаево-Черкесская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Калужская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Хакасия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Кировская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Калмыкия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Коми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Костромская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Краснодарский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Камчатский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Курганская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Красноярский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2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Кемеровская область - Кузбасс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Липецкая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Мордовия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2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Марий Эл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Магаданская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58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Мурманская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Москва столица Российской Федерации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Новосибирская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62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Нижегородская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Оренбургская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8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Пермский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Приморский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8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8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Пензенская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Алтай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Карелия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8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8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Рязанская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Самарская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8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Сахалинская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58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Смоленская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Северная Осетия-Алания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Санкт-Петербург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Саратовская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Ставропольский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2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Свердловская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8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Тамбовская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58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Тюменская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8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Татарстан (Татарстан)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2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Тульская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Тверская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Тыва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62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Удмуртская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8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Ульяновская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1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Вологодская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Владимирская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Волгоградская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Воронежская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2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Саха (Якутия)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Ярославская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body79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Забайкальский край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bookmarkEnd w:id="52"/>
    <w:bookmarkStart w:id="56" w:name="X3ed63c5531f1c1bfbfa8706f22fc4cd20afa6cd"/>
    <w:p>
      <w:pPr>
        <w:pStyle w:val="1"/>
      </w:pPr>
      <w:r>
        <w:t xml:space="preserve">Приложение 4. Результаты, полученные путем наложения знаковых ограничений на импульсные отклики</w:t>
      </w:r>
    </w:p>
    <w:p>
      <w:pPr>
        <w:pStyle w:val="FirstParagraph"/>
      </w:pPr>
      <w:r>
        <w:t xml:space="preserve">В качестве альтернативной схемы идентификации фискальных шоков мы применяем знаковые ограничения на импульсные отклики, следуя</w:t>
      </w:r>
      <w:r>
        <w:t xml:space="preserve"> </w:t>
      </w:r>
      <w:r>
        <w:t xml:space="preserve">Mountford, Uhlig (2009)</w:t>
      </w:r>
      <w:r>
        <w:t xml:space="preserve">. В ходе этой процедуры в каждом регионе идентифицируются три ортогональных шока. Предполагается, что региональный шок спроса одновременно увеличивает выпуск и инфляцию, а шок предложения приводит к их движению в противоположном друг другу направлении. В обоих случаях шок не оказывает воздействия на величину государственный расходов. Эти ограничения накладыаются только на период шока (1 месяц). Шок госрасходхов определяется как случайное возмущение, приводящее к росту государственных расходов и выпуска на горизонте 3 месяцев без ограничений на знак отклика инфляции. Резюме используемх знаковых ограничений приведено в таблице ниже: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47de7f57-6c2f-4b44-874f-2cdefff285e6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7de7f57-6c2f-4b44-874f-2cdefff285e6"/>
      <w:r>
        <w:rPr>
          <w:rFonts/>
          <w:b w:val="true"/>
        </w:rPr>
        <w:t xml:space="preserve">.  </w:t>
      </w:r>
      <w:r>
        <w:t xml:space="preserve">Знаковые ограничения на импульсные отклики модели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Шок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Совокупный выпуск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Инфляция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Государственные расходы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Совокупный спрос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Совокупное предложение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Государственные расходы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Ограничения накладываются на импульсные отклики в момент шока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Ограничения накладываются на импульсные отклики на 3 месяца, включая период шока</w:t>
            </w:r>
          </w:p>
        </w:tc>
      </w:tr>
    </w:tbl>
    <w:p>
      <w:pPr>
        <w:pStyle w:val="a0"/>
      </w:pPr>
      <w:r>
        <w:t xml:space="preserve">Поскольку процедура расчёта импульсных откликов с использованием знаковых ограничений и байесовской оценки оказывается существенно более ресурсоёмкой, период анализа ограничивается 12 месяцами. Пиковая медианная величина регионального мультипликатора при использовании альтернативной идентификационной схемы оказывается несколько выше (1.71 на горизонте 1 месяца), при этом в большинстве регионов величина эффекта существенно снижается уже к концу первого года после шока. Качественные выводы о факторах отличий региональных мультипликаторов остаются неизменными по сравнению с основным текстом работы. Единственным дополнительным фактором, который положительно ассоциируется с величной мультипликатора, оказывается доля занятости в частном секторе. Это свидетельствует о более выраженной реакции частных компаний на фискальные стимулы.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0edfec5b-6738-433e-90a6-695c50458056" w:name="OwnYSign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edfec5b-6738-433e-90a6-695c50458056"/>
      <w:r>
        <w:rPr>
          <w:rFonts/>
          <w:b w:val="true"/>
        </w:rPr>
        <w:t xml:space="preserve">.  </w:t>
      </w:r>
      <w:r>
        <w:t xml:space="preserve">Оценка мультипликатора государственных расходов в российских регионах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Горизонт (месяцев)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15-й перцентиль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85-й перцентиль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</w:tr>
      <w:tr>
        <w:trPr>
          <w:trHeight w:val="62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trHeight w:val="606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значимых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Примечание: оценки получены на основе GVAR-модели на выборке 2009-2024 гг. с наложением знаковых ограничений на импульсные отклики. Под мультипликатором понимается процентное изменение индекса деловой активности в ответ на увеличение госрасходов, эквивалентное 1% ВРП. Описательные статистики рассчитаны по 79 регионам.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 расчёте среднего в качестве весов используется региональный подушевой ВРП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Для проверки значимости используются 68%-е достоверные интервалы</w:t>
            </w:r>
          </w:p>
        </w:tc>
      </w:tr>
    </w:tbl>
    <w:p>
      <w:pPr>
        <w:pStyle w:val="ImageCaption"/>
      </w:pPr>
      <w:r>
        <w:rPr>
          <w:rFonts/>
          <w:b w:val="true"/>
        </w:rPr>
        <w:t xml:space="preserve">Рисунок </w:t>
      </w:r>
      <w:bookmarkStart w:id="00abf305-35d5-4aba-8fbd-f9f01b5921a2" w:name="OwnYDynRegSign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0abf305-35d5-4aba-8fbd-f9f01b5921a2"/>
      <w:r>
        <w:rPr>
          <w:rFonts/>
          <w:b w:val="true"/>
        </w:rPr>
        <w:t xml:space="preserve">. </w:t>
      </w:r>
      <w:r>
        <w:t xml:space="preserve">Динамика мультипликатора государственных расходов в российских регионах</w:t>
      </w:r>
    </w:p>
    <w:p>
      <w:pPr>
        <w:jc w:val="center"/>
        <w:pStyle w:val="Figure"/>
      </w:pPr>
      <w:r>
        <w:rPr/>
        <w:drawing>
          <wp:inline distT="0" distB="0" distL="0" distR="0">
            <wp:extent cx="6025896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sz w:val="22"/>
          <w:szCs w:val="22"/>
        </w:rPr>
        <w:t xml:space="preserve">Примечание: оценки получены на основе GVAR-модели на выборке 2009-2024 гг. с наложением знаковых ограничений на импульсные отклики. Отклики выпуска в отдельных регионах изображены пунктирной линией.</w:t>
      </w:r>
    </w:p>
    <w:p>
      <w:pPr>
        <w:pStyle w:val="ImageCaption"/>
      </w:pPr>
      <w:r>
        <w:rPr>
          <w:rFonts/>
          <w:b w:val="true"/>
        </w:rPr>
        <w:t xml:space="preserve">Рисунок </w:t>
      </w:r>
      <w:bookmarkStart w:id="2674afd9-16a2-4b29-9b0a-263445b7beb4" w:name="OwnYMapSign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674afd9-16a2-4b29-9b0a-263445b7beb4"/>
      <w:r>
        <w:rPr>
          <w:rFonts/>
          <w:b w:val="true"/>
        </w:rPr>
        <w:t xml:space="preserve">. </w:t>
      </w:r>
      <w:r>
        <w:t xml:space="preserve">Оценка мультипликатора госрасходов на горизонте 1 месяца. Примечание:</w:t>
      </w:r>
    </w:p>
    <w:p>
      <w:pPr>
        <w:jc w:val="center"/>
        <w:pStyle w:val="Figure"/>
      </w:pPr>
      <w:r>
        <w:rPr/>
        <w:drawing>
          <wp:inline distT="0" distB="0" distL="0" distR="0">
            <wp:extent cx="6025896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sz w:val="22"/>
          <w:szCs w:val="22"/>
        </w:rPr>
        <w:t xml:space="preserve">Примечание: оценки получены на основе GVAR-модели на выборке 2009-2024 гг. с наложением знаковых ограничений на импульсные отклики. Величина отклика обозначена градиентом.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977157d3-7e1d-4449-8a57-87d8501f9ac4" w:name="YregressSign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77157d3-7e1d-4449-8a57-87d8501f9ac4"/>
      <w:r>
        <w:rPr>
          <w:rFonts/>
          <w:b w:val="true"/>
        </w:rPr>
        <w:t xml:space="preserve">.  </w:t>
      </w:r>
      <w:r>
        <w:t xml:space="preserve">Факторы гетерогенности отклика выпуска на шок госрасходов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ВРП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Неравенство 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Рынок труда 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Внешняя торговля 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Бюджет      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Константа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-15.98 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2.99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Логарифм ВРП на душу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1.24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добычи в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обработки в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строительства в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Децильный коэффициент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Уровень бедности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занятости в частном секторе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занятости на МСП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Напряжённость рынка труда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Безработица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Импорт/ВРП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Отгрузка товаров из других регионов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Отгрузка товаров в другие регионы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Расходы на нацоборону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   </w:t>
            </w:r>
          </w:p>
        </w:tc>
      </w:tr>
      <w:tr>
        <w:trPr>
          <w:trHeight w:val="66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Расходы на нацбезопасность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</w:t>
            </w:r>
          </w:p>
        </w:tc>
      </w:tr>
      <w:tr>
        <w:trPr>
          <w:trHeight w:val="6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Социальные расходы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 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Расходы на нацэкономику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 **</w:t>
            </w:r>
          </w:p>
        </w:tc>
      </w:tr>
      <w:tr>
        <w:trPr>
          <w:trHeight w:val="65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Госдолг к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  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  </w:t>
            </w:r>
          </w:p>
        </w:tc>
      </w:tr>
      <w:tr>
        <w:trPr>
          <w:trHeight w:val="6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  </w:t>
            </w:r>
          </w:p>
        </w:tc>
      </w:tr>
      <w:tr>
        <w:trPr>
          <w:trHeight w:val="63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  </w:t>
            </w:r>
          </w:p>
        </w:tc>
      </w:tr>
      <w:tr>
        <w:trPr>
          <w:trHeight w:val="634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</w:tr>
      <w:tr>
        <w:trPr>
          <w:trHeight w:val="673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Примечание: в качестве зависимой переменной используется оценка регионального мультипликатора на горизонте 1 месяца. Наблюдения в регрессии взвешены по региональному подушевому ВВП</w:t>
            </w:r>
          </w:p>
        </w:tc>
      </w:tr>
    </w:tbl>
    <w:bookmarkStart w:id="55" w:name="refs"/>
    <w:bookmarkStart w:id="54" w:name="ref-mountfordWhatAreEffects2009"/>
    <w:p>
      <w:pPr>
        <w:pStyle w:val="a8"/>
      </w:pPr>
      <w:r>
        <w:t xml:space="preserve">Mountford, A., Uhlig, H. (2009). What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Fiscal Policy Shocks</w:t>
      </w:r>
      <w:r>
        <w:t xml:space="preserve">?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(6), 960–992.</w:t>
      </w:r>
      <w:r>
        <w:t xml:space="preserve"> </w:t>
      </w:r>
      <w:hyperlink r:id="rId53">
        <w:r>
          <w:rPr>
            <w:rStyle w:val="ae"/>
          </w:rPr>
          <w:t xml:space="preserve">https://doi.org/10.1002/jae.1079</w:t>
        </w:r>
      </w:hyperlink>
    </w:p>
    <w:bookmarkEnd w:id="54"/>
    <w:bookmarkEnd w:id="55"/>
    <w:bookmarkEnd w:id="56"/>
    <w:sectPr w:rsidR="000027DF" w:rsidRPr="00EA3ABF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1342282442"/>
      <w:docPartObj>
        <w:docPartGallery w:val="Page Numbers (Bottom of Page)"/>
        <w:docPartUnique/>
      </w:docPartObj>
    </w:sdtPr>
    <w:sdtContent>
      <w:p w14:paraId="3F026D96" w14:textId="77777777" w:rsidR="001416C9" w:rsidRDefault="00000000" w:rsidP="00084E93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CB4F7F">
          <w:rPr>
            <w:rStyle w:val="af3"/>
            <w:noProof/>
          </w:rPr>
          <w:t>0</w:t>
        </w:r>
        <w:r>
          <w:rPr>
            <w:rStyle w:val="af3"/>
          </w:rPr>
          <w:fldChar w:fldCharType="end"/>
        </w:r>
      </w:p>
    </w:sdtContent>
  </w:sdt>
  <w:p w14:paraId="5B32EDDB" w14:textId="77777777" w:rsidR="001416C9" w:rsidRDefault="001416C9" w:rsidP="00676DF8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928616856"/>
      <w:docPartObj>
        <w:docPartGallery w:val="Page Numbers (Bottom of Page)"/>
        <w:docPartUnique/>
      </w:docPartObj>
    </w:sdtPr>
    <w:sdtContent>
      <w:p w14:paraId="49608AD9" w14:textId="77777777" w:rsidR="001416C9" w:rsidRDefault="00000000" w:rsidP="00314E44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17BB77AF" w14:textId="77777777" w:rsidR="001416C9" w:rsidRDefault="001416C9" w:rsidP="00676DF8">
    <w:pPr>
      <w:pStyle w:val="af1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Контактная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Гуленков</w:t>
      </w:r>
      <w:r>
        <w:t xml:space="preserve"> </w:t>
      </w:r>
      <w:r>
        <w:t xml:space="preserve">И.</w:t>
      </w:r>
      <w:r>
        <w:t xml:space="preserve"> </w:t>
      </w:r>
      <w:r>
        <w:t xml:space="preserve">В.,</w:t>
      </w:r>
      <w:r>
        <w:t xml:space="preserve"> </w:t>
      </w:r>
      <w:hyperlink r:id="rId21">
        <w:r>
          <w:rPr>
            <w:rStyle w:val="ae"/>
          </w:rPr>
          <w:t xml:space="preserve">igulenkov@hse.ru</w:t>
        </w:r>
      </w:hyperlink>
    </w:p>
  </w:footnote>
  <w:footnote w:id="22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осуществлено</w:t>
      </w:r>
      <w:r>
        <w:t xml:space="preserve"> </w:t>
      </w:r>
      <w:r>
        <w:t xml:space="preserve">в</w:t>
      </w:r>
      <w:r>
        <w:t xml:space="preserve"> </w:t>
      </w:r>
      <w:r>
        <w:t xml:space="preserve">рамках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фундаментальных</w:t>
      </w:r>
      <w:r>
        <w:t xml:space="preserve"> </w:t>
      </w:r>
      <w:r>
        <w:t xml:space="preserve">исследований</w:t>
      </w:r>
      <w:r>
        <w:t xml:space="preserve"> </w:t>
      </w:r>
      <w:r>
        <w:t xml:space="preserve">НИУ</w:t>
      </w:r>
      <w:r>
        <w:t xml:space="preserve"> </w:t>
      </w:r>
      <w:r>
        <w:t xml:space="preserve">ВШЭ</w:t>
      </w:r>
      <w:r>
        <w:t xml:space="preserve"> </w:t>
      </w:r>
      <w:r>
        <w:t xml:space="preserve">в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</w:footnote>
  <w:footnote w:id="23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24">
        <w:r>
          <w:rPr>
            <w:rStyle w:val="ae"/>
          </w:rPr>
          <w:t xml:space="preserve">https://fedstat.ru/indicator/42108</w:t>
        </w:r>
      </w:hyperlink>
    </w:p>
  </w:footnote>
  <w:footnote w:id="25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26">
        <w:r>
          <w:rPr>
            <w:rStyle w:val="ae"/>
          </w:rPr>
          <w:t xml:space="preserve">https://www.cbr.ru/hd_base/ruonia/dynamics</w:t>
        </w:r>
      </w:hyperlink>
    </w:p>
  </w:footnote>
  <w:footnote w:id="27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28">
        <w:r>
          <w:rPr>
            <w:rStyle w:val="ae"/>
          </w:rPr>
          <w:t xml:space="preserve">https://www.economy.gov.ru/material/departments/d12/konyunktura_mirovyh_tovarnyh_rynkov</w:t>
        </w:r>
      </w:hyperlink>
    </w:p>
  </w:footnote>
  <w:footnote w:id="29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0">
        <w:r>
          <w:rPr>
            <w:rStyle w:val="ae"/>
          </w:rPr>
          <w:t xml:space="preserve">http://sophist.hse.ru/rstat_data/vvoz2016/pBBF2_2016/pВВФ2_99.xls</w:t>
        </w:r>
      </w:hyperlink>
    </w:p>
  </w:footnote>
  <w:footnote w:id="32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3">
        <w:r>
          <w:rPr>
            <w:rStyle w:val="ae"/>
          </w:rPr>
          <w:t xml:space="preserve">https://minfin.gov.ru/ru/statistics/fedbud</w:t>
        </w:r>
      </w:hyperlink>
    </w:p>
  </w:footnote>
  <w:footnote w:id="34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5">
        <w:r>
          <w:rPr>
            <w:rStyle w:val="ae"/>
          </w:rPr>
          <w:t xml:space="preserve">https://fedstat.ru/indicator/31074</w:t>
        </w:r>
      </w:hyperlink>
    </w:p>
  </w:footnote>
  <w:footnote w:id="36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7">
        <w:r>
          <w:rPr>
            <w:rStyle w:val="ae"/>
          </w:rPr>
          <w:t xml:space="preserve">https://www.roskazna.gov.ru/ispolnenie-byudzhetov/konsolidirovannye-byudzhety-subektov/1019/</w:t>
        </w:r>
      </w:hyperlink>
    </w:p>
  </w:footnote>
  <w:footnote w:id="38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9">
        <w:r>
          <w:rPr>
            <w:rStyle w:val="ae"/>
          </w:rPr>
          <w:t xml:space="preserve">https://budget.gov.ru/Бюджет/Расходы</w:t>
        </w:r>
      </w:hyperlink>
    </w:p>
  </w:footnote>
  <w:footnote w:id="41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2">
        <w:r>
          <w:rPr>
            <w:rStyle w:val="ae"/>
          </w:rPr>
          <w:t xml:space="preserve">https://rosstat.gov.ru/compendium/document/50801</w:t>
        </w:r>
      </w:hyperlink>
    </w:p>
  </w:footnote>
  <w:footnote w:id="43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4">
        <w:r>
          <w:rPr>
            <w:rStyle w:val="ae"/>
          </w:rPr>
          <w:t xml:space="preserve">https://rosstat.gov.ru/folder/11109/document/13259</w:t>
        </w:r>
      </w:hyperlink>
    </w:p>
  </w:footnote>
  <w:footnote w:id="45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6">
        <w:r>
          <w:rPr>
            <w:rStyle w:val="ae"/>
          </w:rPr>
          <w:t xml:space="preserve">https://fedstat.ru</w:t>
        </w:r>
      </w:hyperlink>
    </w:p>
  </w:footnote>
  <w:footnote w:id="47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8">
        <w:r>
          <w:rPr>
            <w:rStyle w:val="ae"/>
          </w:rPr>
          <w:t xml:space="preserve">https://rosstat.gov.ru/statistics/accounts</w:t>
        </w:r>
      </w:hyperlink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FAEA1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FD3687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BEE631D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0BC657B3"/>
    <w:multiLevelType w:val="multilevel"/>
    <w:tmpl w:val="040C001D"/>
    <w:numStyleLink w:val="Defaultul"/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A207BFA"/>
    <w:multiLevelType w:val="hybridMultilevel"/>
    <w:tmpl w:val="FDC4FCDE"/>
    <w:lvl w:ilvl="0" w:tplc="B8ECBD0E">
      <w:start w:val="1"/>
      <w:numFmt w:val="decimal"/>
      <w:pStyle w:val="1"/>
      <w:lvlText w:val="%1."/>
      <w:lvlJc w:val="left"/>
      <w:pPr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3920866" w:numId="1">
    <w:abstractNumId w:val="15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5"/>
  </w:num>
  <w:num w16cid:durableId="1911959498" w:numId="13">
    <w:abstractNumId w:val="24"/>
  </w:num>
  <w:num w16cid:durableId="1400664278" w:numId="14">
    <w:abstractNumId w:val="23"/>
  </w:num>
  <w:num w16cid:durableId="797575161" w:numId="15">
    <w:abstractNumId w:val="22"/>
  </w:num>
  <w:num w16cid:durableId="1332903906" w:numId="16">
    <w:abstractNumId w:val="16"/>
  </w:num>
  <w:num w16cid:durableId="293290679" w:numId="17">
    <w:abstractNumId w:val="17"/>
  </w:num>
  <w:num w16cid:durableId="204610571" w:numId="18">
    <w:abstractNumId w:val="28"/>
  </w:num>
  <w:num w16cid:durableId="218170936" w:numId="19">
    <w:abstractNumId w:val="21"/>
  </w:num>
  <w:num w16cid:durableId="1539315709" w:numId="20">
    <w:abstractNumId w:val="26"/>
  </w:num>
  <w:num w16cid:durableId="684096350" w:numId="21">
    <w:abstractNumId w:val="14"/>
  </w:num>
  <w:num w16cid:durableId="1375154319" w:numId="22">
    <w:abstractNumId w:val="18"/>
  </w:num>
  <w:num w16cid:durableId="489449184" w:numId="23">
    <w:abstractNumId w:val="20"/>
  </w:num>
  <w:num w16cid:durableId="701327074" w:numId="24">
    <w:abstractNumId w:val="13"/>
  </w:num>
  <w:num w16cid:durableId="1360856025" w:numId="25">
    <w:abstractNumId w:val="19"/>
  </w:num>
  <w:num w16cid:durableId="130446418" w:numId="26">
    <w:abstractNumId w:val="10"/>
  </w:num>
  <w:num w16cid:durableId="1727801492" w:numId="27">
    <w:abstractNumId w:val="11"/>
  </w:num>
  <w:num w16cid:durableId="1018626064" w:numId="28">
    <w:abstractNumId w:val="11"/>
  </w:num>
  <w:num w16cid:durableId="1630626448"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47685622"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98601548"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37331299" w:numId="32">
    <w:abstractNumId w:val="2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355469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uiPriority w:val="9"/>
    <w:qFormat/>
    <w:rsid w:val="005E56C9"/>
    <w:pPr>
      <w:keepNext/>
      <w:keepLines/>
      <w:numPr>
        <w:numId w:val="32"/>
      </w:numPr>
      <w:spacing w:after="0" w:before="480"/>
      <w:ind w:firstLine="0" w:left="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194285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194285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AB5355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rsid w:val="009137D8"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44A99"/>
    <w:pPr>
      <w:keepNext/>
      <w:keepLines/>
      <w:jc w:val="both"/>
    </w:pPr>
    <w:rPr>
      <w:rFonts w:ascii="Times New Roman" w:hAnsi="Times New Roman"/>
    </w:r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EA3ABF"/>
    <w:pPr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  <w:rsid w:val="00140655"/>
    <w:pPr>
      <w:contextualSpacing/>
    </w:pPr>
    <w:rPr>
      <w:sz w:val="20"/>
    </w:rPr>
  </w:style>
  <w:style w:customStyle="1" w:styleId="Table" w:type="table">
    <w:name w:val="Table"/>
    <w:semiHidden/>
    <w:unhideWhenUsed/>
    <w:qFormat/>
    <w:rsid w:val="0094654A"/>
    <w:pPr>
      <w:spacing w:after="0"/>
      <w:contextualSpacing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qFormat/>
    <w:rsid w:val="00B45A3F"/>
    <w:pPr>
      <w:keepNext/>
      <w:keepLines/>
      <w:jc w:val="left"/>
    </w:pPr>
    <w:rPr>
      <w:i w:val="0"/>
    </w:rPr>
  </w:style>
  <w:style w:customStyle="1" w:styleId="ImageCaption" w:type="paragraph">
    <w:name w:val="Image Caption"/>
    <w:basedOn w:val="ab"/>
    <w:qFormat/>
    <w:rsid w:val="00B45A3F"/>
    <w:pPr>
      <w:keepNext/>
      <w:keepLines/>
    </w:pPr>
    <w:rPr>
      <w:i w:val="0"/>
    </w:rPr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9137D8"/>
    <w:rPr>
      <w:color w:val="C00000"/>
    </w:rPr>
  </w:style>
  <w:style w:styleId="af" w:type="paragraph">
    <w:name w:val="TOC Heading"/>
    <w:basedOn w:val="1"/>
    <w:next w:val="a0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a4" w:type="character">
    <w:name w:val="Основной текст Знак"/>
    <w:basedOn w:val="a1"/>
    <w:link w:val="a0"/>
    <w:rsid w:val="009137D8"/>
  </w:style>
  <w:style w:styleId="af0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f1" w:type="paragraph">
    <w:name w:val="footer"/>
    <w:basedOn w:val="a"/>
    <w:link w:val="af2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af2" w:type="character">
    <w:name w:val="Нижний колонтитул Знак"/>
    <w:basedOn w:val="a1"/>
    <w:link w:val="af1"/>
    <w:rsid w:val="00676DF8"/>
  </w:style>
  <w:style w:styleId="af3" w:type="character">
    <w:name w:val="page number"/>
    <w:basedOn w:val="a1"/>
    <w:semiHidden/>
    <w:unhideWhenUsed/>
    <w:rsid w:val="00676DF8"/>
  </w:style>
  <w:style w:styleId="af4" w:type="paragraph">
    <w:name w:val="header"/>
    <w:basedOn w:val="a"/>
    <w:link w:val="af5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af5" w:type="character">
    <w:name w:val="Верхний колонтитул Знак"/>
    <w:basedOn w:val="a1"/>
    <w:link w:val="af4"/>
    <w:rsid w:val="003F65B2"/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quation" w:type="paragraph">
    <w:name w:val="equation"/>
    <w:basedOn w:val="a0"/>
    <w:link w:val="equation0"/>
    <w:qFormat/>
    <w:rsid w:val="00A1203B"/>
    <w:pPr>
      <w:tabs>
        <w:tab w:pos="4703" w:val="center"/>
        <w:tab w:pos="9407" w:val="right"/>
      </w:tabs>
    </w:pPr>
  </w:style>
  <w:style w:customStyle="1" w:styleId="equation0" w:type="character">
    <w:name w:val="equation Знак"/>
    <w:basedOn w:val="a4"/>
    <w:link w:val="equation"/>
    <w:rsid w:val="00A1203B"/>
    <w:rPr>
      <w:rFonts w:ascii="Times New Roman" w:hAnsi="Times New Roman"/>
    </w:rPr>
  </w:style>
  <w:style w:styleId="af6" w:type="table">
    <w:name w:val="Table Grid"/>
    <w:basedOn w:val="a2"/>
    <w:rsid w:val="00F64D5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MyTable" w:type="table">
    <w:name w:val="My Table"/>
    <w:basedOn w:val="-1"/>
    <w:uiPriority w:val="99"/>
    <w:rsid w:val="00F64D57"/>
    <w:pPr>
      <w:spacing w:after="0"/>
      <w:contextualSpacing/>
      <w:jc w:val="left"/>
    </w:pPr>
    <w:rPr>
      <w:rFonts w:ascii="Times New Roman" w:hAnsi="Times New Roman"/>
      <w:sz w:val="20"/>
      <w:szCs w:val="20"/>
      <w:lang w:eastAsia="ru-RU" w:val="ru-RU"/>
    </w:rPr>
    <w:tblPr>
      <w:tblBorders>
        <w:top w:color="auto" w:space="0" w:sz="4" w:val="single"/>
        <w:left w:color="auto" w:space="0" w:sz="0" w:val="none"/>
        <w:bottom w:color="auto" w:space="0" w:sz="4" w:val="single"/>
        <w:right w:color="auto" w:space="0" w:sz="0" w:val="none"/>
        <w:insideH w:color="auto" w:space="0" w:sz="0" w:val="none"/>
        <w:insideV w:color="auto" w:space="0" w:sz="0" w:val="non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-3" w:type="table">
    <w:name w:val="Table Web 3"/>
    <w:basedOn w:val="a2"/>
    <w:semiHidden/>
    <w:unhideWhenUsed/>
    <w:rsid w:val="00F64D57"/>
    <w:pPr>
      <w:jc w:val="both"/>
    </w:pPr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-1" w:type="table">
    <w:name w:val="Table Web 1"/>
    <w:basedOn w:val="a2"/>
    <w:semiHidden/>
    <w:unhideWhenUsed/>
    <w:rsid w:val="00F64D57"/>
    <w:pPr>
      <w:jc w:val="both"/>
    </w:pPr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30" Type="http://schemas.openxmlformats.org/officeDocument/2006/relationships/hyperlink" Target="http://sophist.hse.ru/rstat_data/vvoz2016/pBBF2_2016/p&#1042;&#1042;&#1060;2_99.xls" TargetMode="External"/>
<Relationship Id="rId39" Type="http://schemas.openxmlformats.org/officeDocument/2006/relationships/hyperlink" Target="https://budget.gov.ru/&#1041;&#1102;&#1076;&#1078;&#1077;&#1090;/&#1056;&#1072;&#1089;&#1093;&#1086;&#1076;&#1099;" TargetMode="External"/>
<Relationship Id="rId53" Type="http://schemas.openxmlformats.org/officeDocument/2006/relationships/hyperlink" Target="https://doi.org/10.1002/jae.1079" TargetMode="External"/>
<Relationship Id="rId46" Type="http://schemas.openxmlformats.org/officeDocument/2006/relationships/hyperlink" Target="https://fedstat.ru" TargetMode="External"/>
<Relationship Id="rId35" Type="http://schemas.openxmlformats.org/officeDocument/2006/relationships/hyperlink" Target="https://fedstat.ru/indicator/31074" TargetMode="External"/>
<Relationship Id="rId24" Type="http://schemas.openxmlformats.org/officeDocument/2006/relationships/hyperlink" Target="https://fedstat.ru/indicator/42108" TargetMode="External"/>
<Relationship Id="rId33" Type="http://schemas.openxmlformats.org/officeDocument/2006/relationships/hyperlink" Target="https://minfin.gov.ru/ru/statistics/fedbud" TargetMode="External"/>
<Relationship Id="rId42" Type="http://schemas.openxmlformats.org/officeDocument/2006/relationships/hyperlink" Target="https://rosstat.gov.ru/compendium/document/50801" TargetMode="External"/>
<Relationship Id="rId44" Type="http://schemas.openxmlformats.org/officeDocument/2006/relationships/hyperlink" Target="https://rosstat.gov.ru/folder/11109/document/13259" TargetMode="External"/>
<Relationship Id="rId48" Type="http://schemas.openxmlformats.org/officeDocument/2006/relationships/hyperlink" Target="https://rosstat.gov.ru/statistics/accounts" TargetMode="External"/>
<Relationship Id="rId26" Type="http://schemas.openxmlformats.org/officeDocument/2006/relationships/hyperlink" Target="https://www.cbr.ru/hd_base/ruonia/dynamics" TargetMode="External"/>
<Relationship Id="rId28" Type="http://schemas.openxmlformats.org/officeDocument/2006/relationships/hyperlink" Target="https://www.economy.gov.ru/material/departments/d12/konyunktura_mirovyh_tovarnyh_rynkov" TargetMode="External"/>
<Relationship Id="rId37" Type="http://schemas.openxmlformats.org/officeDocument/2006/relationships/hyperlink" Target="https://www.roskazna.gov.ru/ispolnenie-byudzhetov/konsolidirovannye-byudzhety-subektov/1019/" TargetMode="External"/>
<Relationship Id="rId21" Type="http://schemas.openxmlformats.org/officeDocument/2006/relationships/hyperlink" Target="mailto:igulenkov@hse.ru" TargetMode="External"/>
<Relationship Id="rId54" Type="http://schemas.openxmlformats.org/officeDocument/2006/relationships/image" Target="media/0dcc90c5adac670963be1e67026dd9f21554fd43.png"/>
<Relationship Id="rId55" Type="http://schemas.openxmlformats.org/officeDocument/2006/relationships/image" Target="media/d636f636da4f0befeefa7a274fa8b85b1ce90f43.png"/>
</Relationships>

</file>

<file path=word/_rels/footnotes.xml.rels><?xml version="1.0" encoding="UTF-8" standalone="yes"?>

<Relationships  xmlns="http://schemas.openxmlformats.org/package/2006/relationships">
<Relationship Id="rId30" Type="http://schemas.openxmlformats.org/officeDocument/2006/relationships/hyperlink" Target="http://sophist.hse.ru/rstat_data/vvoz2016/pBBF2_2016/p&#1042;&#1042;&#1060;2_99.xls" TargetMode="External"/>
<Relationship Id="rId39" Type="http://schemas.openxmlformats.org/officeDocument/2006/relationships/hyperlink" Target="https://budget.gov.ru/&#1041;&#1102;&#1076;&#1078;&#1077;&#1090;/&#1056;&#1072;&#1089;&#1093;&#1086;&#1076;&#1099;" TargetMode="External"/>
<Relationship Id="rId53" Type="http://schemas.openxmlformats.org/officeDocument/2006/relationships/hyperlink" Target="https://doi.org/10.1002/jae.1079" TargetMode="External"/>
<Relationship Id="rId46" Type="http://schemas.openxmlformats.org/officeDocument/2006/relationships/hyperlink" Target="https://fedstat.ru" TargetMode="External"/>
<Relationship Id="rId35" Type="http://schemas.openxmlformats.org/officeDocument/2006/relationships/hyperlink" Target="https://fedstat.ru/indicator/31074" TargetMode="External"/>
<Relationship Id="rId24" Type="http://schemas.openxmlformats.org/officeDocument/2006/relationships/hyperlink" Target="https://fedstat.ru/indicator/42108" TargetMode="External"/>
<Relationship Id="rId33" Type="http://schemas.openxmlformats.org/officeDocument/2006/relationships/hyperlink" Target="https://minfin.gov.ru/ru/statistics/fedbud" TargetMode="External"/>
<Relationship Id="rId42" Type="http://schemas.openxmlformats.org/officeDocument/2006/relationships/hyperlink" Target="https://rosstat.gov.ru/compendium/document/50801" TargetMode="External"/>
<Relationship Id="rId44" Type="http://schemas.openxmlformats.org/officeDocument/2006/relationships/hyperlink" Target="https://rosstat.gov.ru/folder/11109/document/13259" TargetMode="External"/>
<Relationship Id="rId48" Type="http://schemas.openxmlformats.org/officeDocument/2006/relationships/hyperlink" Target="https://rosstat.gov.ru/statistics/accounts" TargetMode="External"/>
<Relationship Id="rId26" Type="http://schemas.openxmlformats.org/officeDocument/2006/relationships/hyperlink" Target="https://www.cbr.ru/hd_base/ruonia/dynamics" TargetMode="External"/>
<Relationship Id="rId28" Type="http://schemas.openxmlformats.org/officeDocument/2006/relationships/hyperlink" Target="https://www.economy.gov.ru/material/departments/d12/konyunktura_mirovyh_tovarnyh_rynkov" TargetMode="External"/>
<Relationship Id="rId37" Type="http://schemas.openxmlformats.org/officeDocument/2006/relationships/hyperlink" Target="https://www.roskazna.gov.ru/ispolnenie-byudzhetov/konsolidirovannye-byudzhety-subektov/1019/" TargetMode="External"/>
<Relationship Id="rId21" Type="http://schemas.openxmlformats.org/officeDocument/2006/relationships/hyperlink" Target="mailto:igulenkov@hse.ru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Неоднородность влияния бюджетной политики на регионы России , </dc:title>
  <dc:creator>И. В. Гуленков. Департамент теоретической экономики, Международная лаборатория макроэкономического анализа, Национальный исследовательский университет “Высшая школа экономики”, Москва</dc:creator>
  <cp:keywords/>
  <dcterms:created xsi:type="dcterms:W3CDTF">2025-03-17T21:11:07Z</dcterms:created>
  <dcterms:modified xsi:type="dcterms:W3CDTF">2025-03-17T21:11:09Z</dcterms:modified>
  <cp:lastModifiedBy>rstudio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../Literature/RFS.bib</vt:lpwstr>
  </property>
  <property fmtid="{D5CDD505-2E9C-101B-9397-08002B2CF9AE}" pid="4" name="csl">
    <vt:lpwstr>../Technical/apa-no-ampersand.csl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