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D4" w:rsidRPr="002251D4" w:rsidRDefault="002251D4" w:rsidP="002251D4">
      <w:pPr>
        <w:spacing w:before="720" w:after="360" w:line="600" w:lineRule="atLeast"/>
        <w:outlineLvl w:val="1"/>
        <w:rPr>
          <w:rFonts w:ascii="Arial" w:eastAsia="Times New Roman" w:hAnsi="Arial" w:cs="Arial"/>
          <w:b/>
          <w:bCs/>
          <w:color w:val="2B2D38"/>
          <w:sz w:val="39"/>
          <w:szCs w:val="39"/>
          <w:lang w:eastAsia="en-IN" w:bidi="hi-IN"/>
        </w:rPr>
      </w:pPr>
      <w:r w:rsidRPr="002251D4">
        <w:rPr>
          <w:rFonts w:ascii="Arial" w:eastAsia="Times New Roman" w:hAnsi="Arial" w:cs="Arial"/>
          <w:color w:val="2B2D38"/>
          <w:sz w:val="39"/>
          <w:szCs w:val="39"/>
          <w:lang w:eastAsia="en-IN" w:bidi="hi-IN"/>
        </w:rPr>
        <w:t>What is subject-verb agreement?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Subject-verb agreement, also called “subject-verb concord,” refers to matching the subject and verb of a sentence in tense, aspect, and mood (abbreviated as TAM), which translates to number, person, and gender.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English doesn’t use grammatical gender (except for </w:t>
      </w:r>
      <w:hyperlink r:id="rId5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pronouns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), and only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changes based on whether it’s first, second, or third person. That means most English subject-verb agreement is about quantity: if the subject is singular, the verb must be singular; if the subject is plural, the verb must be plural.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Even this can get confusing, though, because talking in the first-person singular (“I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climb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the fence”) uses the same verb format as talking in the first-person plural (“We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climb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the fence”). Aside from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subject-verb agreement in English adapts verbs to the </w:t>
      </w:r>
      <w:hyperlink r:id="rId6" w:history="1">
        <w:r w:rsidRPr="002251D4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 w:bidi="hi-IN"/>
          </w:rPr>
          <w:t>third-person</w:t>
        </w:r>
      </w:hyperlink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 singular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(“It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climbs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the fence”). </w:t>
      </w:r>
    </w:p>
    <w:p w:rsidR="002251D4" w:rsidRPr="002251D4" w:rsidRDefault="002251D4" w:rsidP="002251D4">
      <w:pPr>
        <w:spacing w:before="720" w:after="360" w:line="600" w:lineRule="atLeast"/>
        <w:outlineLvl w:val="1"/>
        <w:rPr>
          <w:rFonts w:ascii="Arial" w:eastAsia="Times New Roman" w:hAnsi="Arial" w:cs="Arial"/>
          <w:b/>
          <w:bCs/>
          <w:color w:val="2B2D38"/>
          <w:sz w:val="39"/>
          <w:szCs w:val="39"/>
          <w:lang w:eastAsia="en-IN" w:bidi="hi-IN"/>
        </w:rPr>
      </w:pPr>
      <w:r w:rsidRPr="002251D4">
        <w:rPr>
          <w:rFonts w:ascii="Arial" w:eastAsia="Times New Roman" w:hAnsi="Arial" w:cs="Arial"/>
          <w:color w:val="2B2D38"/>
          <w:sz w:val="39"/>
          <w:szCs w:val="39"/>
          <w:lang w:eastAsia="en-IN" w:bidi="hi-IN"/>
        </w:rPr>
        <w:t>Usage and subject-verb agreement examples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Basically, most subjects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except third-person singular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use the standard form of a verb in the present tense.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dogs roll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in the mud.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 need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to catch my breath.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You look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like a celebrity!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lastRenderedPageBreak/>
        <w:t>However, if the subject is third-person singular, you must use the singular form of the verb when speaking in the present tense. Most of the time, this means adding an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-s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to the end of the verb.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dog roll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in the mud.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She need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catch her breath.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He look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like a celebrity!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If the verb ends in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-x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ss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sh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ch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tch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or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zz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 you add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es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to the end to match the third-person singular.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My snake hiss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say “I love you.”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She only match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with creeps in online dating.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If the verb ends in a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consonant + y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remove the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y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and add –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ies</w:t>
      </w:r>
      <w:proofErr w:type="spellEnd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to match the third-person singular.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Atlas carr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the world on his shoulders.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new drone fl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higher than the old one.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However, with words that end in a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vowel + y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follow the normal format and add only –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to make the third-person singular.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My roommate stay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in his bedroom from morning to night.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With the exception of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these guidelines apply to </w:t>
      </w:r>
      <w:hyperlink r:id="rId7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irregular verbs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as well as regular </w:t>
      </w:r>
      <w:hyperlink r:id="rId8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verbs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 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Our father eats with the ferocity of a tiger.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lastRenderedPageBreak/>
        <w:t>So why does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have so many exceptions? The most common verb in English,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doesn’t just represent a general state of existence; it’s also an auxiliary verb necessary for the continuous tenses.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In English,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is the only verb that changes based on the person. If you’re using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alone or as part of a continuous tense, the subject-verb agreement rules require that you match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both the number and the person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 Here’s a quick reminder of how to conjugate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 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in the singular and plural of each person: </w:t>
      </w:r>
    </w:p>
    <w:tbl>
      <w:tblPr>
        <w:tblW w:w="9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8"/>
        <w:gridCol w:w="2816"/>
        <w:gridCol w:w="2246"/>
      </w:tblGrid>
      <w:tr w:rsidR="002251D4" w:rsidRPr="002251D4" w:rsidTr="00225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b/>
                <w:bCs/>
                <w:color w:val="3B3E4D"/>
                <w:sz w:val="27"/>
                <w:szCs w:val="27"/>
                <w:lang w:eastAsia="en-IN" w:bidi="hi-IN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b/>
                <w:bCs/>
                <w:color w:val="3B3E4D"/>
                <w:sz w:val="27"/>
                <w:szCs w:val="27"/>
                <w:lang w:eastAsia="en-IN" w:bidi="hi-IN"/>
              </w:rPr>
              <w:t>Plural</w:t>
            </w:r>
          </w:p>
        </w:tc>
      </w:tr>
      <w:tr w:rsidR="002251D4" w:rsidRPr="002251D4" w:rsidTr="00225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b/>
                <w:bCs/>
                <w:color w:val="3B3E4D"/>
                <w:sz w:val="27"/>
                <w:szCs w:val="27"/>
                <w:lang w:eastAsia="en-IN" w:bidi="hi-IN"/>
              </w:rPr>
              <w:t>     First person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  <w:t>(I) am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  <w:t>(we) are</w:t>
            </w:r>
          </w:p>
        </w:tc>
      </w:tr>
      <w:tr w:rsidR="002251D4" w:rsidRPr="002251D4" w:rsidTr="00225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b/>
                <w:bCs/>
                <w:color w:val="3B3E4D"/>
                <w:sz w:val="27"/>
                <w:szCs w:val="27"/>
                <w:lang w:eastAsia="en-IN" w:bidi="hi-IN"/>
              </w:rPr>
              <w:t>     Second person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  <w:t>(you) are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  <w:t>(you) are</w:t>
            </w:r>
          </w:p>
        </w:tc>
      </w:tr>
      <w:tr w:rsidR="002251D4" w:rsidRPr="002251D4" w:rsidTr="00225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b/>
                <w:bCs/>
                <w:color w:val="3B3E4D"/>
                <w:sz w:val="27"/>
                <w:szCs w:val="27"/>
                <w:lang w:eastAsia="en-IN" w:bidi="hi-IN"/>
              </w:rPr>
              <w:t>     Third person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  <w:t>(he/she/it) is</w:t>
            </w:r>
          </w:p>
        </w:tc>
        <w:tc>
          <w:tcPr>
            <w:tcW w:w="0" w:type="auto"/>
            <w:vAlign w:val="center"/>
            <w:hideMark/>
          </w:tcPr>
          <w:p w:rsidR="002251D4" w:rsidRPr="002251D4" w:rsidRDefault="002251D4" w:rsidP="00225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</w:pPr>
            <w:r w:rsidRPr="002251D4">
              <w:rPr>
                <w:rFonts w:ascii="Arial" w:eastAsia="Times New Roman" w:hAnsi="Arial" w:cs="Arial"/>
                <w:color w:val="3B3E4D"/>
                <w:sz w:val="27"/>
                <w:szCs w:val="27"/>
                <w:lang w:eastAsia="en-IN" w:bidi="hi-IN"/>
              </w:rPr>
              <w:t>(they) are</w:t>
            </w:r>
          </w:p>
        </w:tc>
      </w:tr>
    </w:tbl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Considering how frequently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is used in English, it’s best to memorize this chart so you can apply the proper subject-verb agreement instinctively.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You are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always welcome in our home.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 am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running a marathon tomorrow.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It 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raining even though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it is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sunny.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If the subject-verb agreement rules seem complicated, there is some good news: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the simple past and simple future don’t change based on the number or person of the subject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 Both singular and plural subjects use the same form for those tenses.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They will be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here tomorrow.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He will be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here tomorrow.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lastRenderedPageBreak/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potatoes grew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overnight!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potato grew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overnight!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The only exception is, again,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which changes between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was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and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were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based on the subject in the simple past tense.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I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was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young once.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We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were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young once.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On the other hand, the </w:t>
      </w:r>
      <w:r w:rsidRPr="002251D4">
        <w:rPr>
          <w:rFonts w:ascii="Arial" w:eastAsia="Times New Roman" w:hAnsi="Arial" w:cs="Arial"/>
          <w:b/>
          <w:bCs/>
          <w:color w:val="3B3E4D"/>
          <w:sz w:val="27"/>
          <w:szCs w:val="27"/>
          <w:lang w:eastAsia="en-IN" w:bidi="hi-IN"/>
        </w:rPr>
        <w:t>perfect tenses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change their auxiliary verb depending on the number of the subject. Singular subjects use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has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and plural subjects use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have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They have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not seen the movie yet, so no spoilers.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She has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not seen the movie yet, so no spoilers.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That covers the basics for subject-verb agreement in English. Still, there are some particularly difficult areas and more precise rules for special situations, which we explain below. </w:t>
      </w:r>
    </w:p>
    <w:p w:rsidR="002251D4" w:rsidRPr="002251D4" w:rsidRDefault="002251D4" w:rsidP="002251D4">
      <w:pPr>
        <w:spacing w:before="720" w:after="360" w:line="600" w:lineRule="atLeast"/>
        <w:outlineLvl w:val="1"/>
        <w:rPr>
          <w:rFonts w:ascii="Arial" w:eastAsia="Times New Roman" w:hAnsi="Arial" w:cs="Arial"/>
          <w:b/>
          <w:bCs/>
          <w:color w:val="2B2D38"/>
          <w:sz w:val="39"/>
          <w:szCs w:val="39"/>
          <w:lang w:eastAsia="en-IN" w:bidi="hi-IN"/>
        </w:rPr>
      </w:pPr>
      <w:r w:rsidRPr="002251D4">
        <w:rPr>
          <w:rFonts w:ascii="Arial" w:eastAsia="Times New Roman" w:hAnsi="Arial" w:cs="Arial"/>
          <w:color w:val="2B2D38"/>
          <w:sz w:val="39"/>
          <w:szCs w:val="39"/>
          <w:lang w:eastAsia="en-IN" w:bidi="hi-IN"/>
        </w:rPr>
        <w:t>Advanced subject-verb agreement rules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Here’s a list of some additional subject-verb agreement rules to clear up the more problematic areas. If you’re still confused, review the subject-verb agreement examples to see how they work.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When using the negative form in the present tense, only the verb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do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needs to match the subject.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does not like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reading before bed.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lastRenderedPageBreak/>
        <w:t>She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likes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reading before bed.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2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Likewise, in questions that involve the word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do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only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do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needs to match the subject.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Do you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know where the train station is?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Does anyone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know where the train station is?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3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If the subject consists of multiple nouns joined by the conjunction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and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treat the subject as plural and use the plural form of the verb.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Lucas and Maxine are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in love!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Only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Lucas is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in love.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However, some common phrases that form a single unit can act as singular.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This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bed and breakfast 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delightful!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4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If the subject consists of multiple singular nouns joined by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treat the subject as singular.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Penne or rigatoni works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fine for the recipe.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However, if the subject consists of multiple plural nouns joined by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treat the subject as plural.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Cats or dogs make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good friends.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If there’s a combination of singular and plural nouns joined by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the verb follows the number of the final one listed.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teacher or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students have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inform the principal.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lastRenderedPageBreak/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students or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teacher has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inform the principal.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5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If there is more than one active verb, as with compound </w:t>
      </w:r>
      <w:hyperlink r:id="rId9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predicates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all the verbs must agree with the subject.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After work,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 go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shopping,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pick up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the kids,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cook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dinner, and then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relax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for the night.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6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</w:t>
      </w:r>
      <w:hyperlink r:id="rId10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Mass nouns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otherwise known as “uncountable nouns” or “</w:t>
      </w:r>
      <w:proofErr w:type="spellStart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noncount</w:t>
      </w:r>
      <w:proofErr w:type="spell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 xml:space="preserve"> nouns,” act as singular subjects.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Love makes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world go around.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7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</w:t>
      </w:r>
      <w:hyperlink r:id="rId11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Collective nouns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can be either singular or plural, depending on whether they act together or separately.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[Together, singular]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team goes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practice at 4:00.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[Separately, plural]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team go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their own homes after practice.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8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Verbs used in alternative forms, such as </w:t>
      </w:r>
      <w:hyperlink r:id="rId12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gerunds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 </w:t>
      </w:r>
      <w:hyperlink r:id="rId13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infinitives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or </w:t>
      </w:r>
      <w:hyperlink r:id="rId14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participles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do not need to follow subject-verb agreement. However, the main verbs of the sentence still do.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coach makes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running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mandatory.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coaches make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running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mandatory.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9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Unless you’re using an </w:t>
      </w:r>
      <w:hyperlink r:id="rId15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appositive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or other descriptive phrase, do not put a </w:t>
      </w:r>
      <w:hyperlink r:id="rId16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comma between subjects and verbs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holiday is becoming a total disaster.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holiday, which I was looking forward to, is becoming a total disaster.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lastRenderedPageBreak/>
        <w:t>10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The words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each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and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every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count as singular when they’re used as the subject, even if they’re followed by multiple nouns.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Each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window and door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needs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 be sealed.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Every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doctor, nurse, and technician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gets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free training here.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11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Likewise, these words always act as singular subjects, even when they describe more than one thing: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anybody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anyone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either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everybody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everyone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neither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no one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nobody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somebody</w:t>
      </w:r>
    </w:p>
    <w:p w:rsidR="002251D4" w:rsidRPr="002251D4" w:rsidRDefault="002251D4" w:rsidP="002251D4">
      <w:pPr>
        <w:numPr>
          <w:ilvl w:val="0"/>
          <w:numId w:val="1"/>
        </w:numPr>
        <w:spacing w:after="240" w:line="480" w:lineRule="atLeast"/>
        <w:ind w:left="0" w:hanging="480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someone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Everybody loves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using correct grammar!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Either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blue or green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works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 xml:space="preserve"> for the wallpaper 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color</w:t>
      </w:r>
      <w:proofErr w:type="spellEnd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12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If additional phrases come between the subject and the verb, the verb must still agree with the subject. These sentences can be tricky, so be careful.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lastRenderedPageBreak/>
        <w:t>A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group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 xml:space="preserve"> consisting of Professor 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Lidenbrock</w:t>
      </w:r>
      <w:proofErr w:type="spellEnd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 xml:space="preserve">, the Icelandic guide Hans </w:t>
      </w:r>
      <w:proofErr w:type="spellStart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Bjelke</w:t>
      </w:r>
      <w:proofErr w:type="spellEnd"/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, and the professor’s nephew Axel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departs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for the volcano.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 xml:space="preserve">Be particularly careful of subjects that use the phrase “one of . . </w:t>
      </w:r>
      <w:proofErr w:type="gramStart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 ”</w:t>
      </w:r>
      <w:proofErr w:type="gramEnd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 xml:space="preserve"> The word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one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is singular, even when followed by plural nouns.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One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of the world’s leading scientists still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has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trouble speaking in public.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13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In the </w:t>
      </w:r>
      <w:hyperlink r:id="rId17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active vs. passive voice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debate, the verb in the passive voice still follows whatever word acts as the subject.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They pay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the electric bill online.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 electric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bill 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paid by them online.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14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When choosing between “</w:t>
      </w:r>
      <w:hyperlink r:id="rId18" w:history="1"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 xml:space="preserve">there is . . </w:t>
        </w:r>
        <w:proofErr w:type="gramStart"/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>. ”</w:t>
        </w:r>
        <w:proofErr w:type="gramEnd"/>
        <w:r w:rsidRPr="002251D4">
          <w:rPr>
            <w:rFonts w:ascii="Arial" w:eastAsia="Times New Roman" w:hAnsi="Arial" w:cs="Arial"/>
            <w:color w:val="0000FF"/>
            <w:sz w:val="27"/>
            <w:szCs w:val="27"/>
            <w:lang w:eastAsia="en-IN" w:bidi="hi-IN"/>
          </w:rPr>
          <w:t xml:space="preserve"> and “there are </w:t>
        </w:r>
      </w:hyperlink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 xml:space="preserve">. . . ,” the verb should match the number of the noun that follows it. The same goes for sentences beginning with “here . . </w:t>
      </w:r>
      <w:proofErr w:type="gramStart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 ”</w:t>
      </w:r>
      <w:proofErr w:type="gramEnd"/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There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a new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map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in the DLC.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There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are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new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maps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in the DLC.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15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 xml:space="preserve"> Similarly, words that indicate a portion, including percentages, use the number of the noun they describe. This noun is typically the object of the phrase “of . . </w:t>
      </w:r>
      <w:proofErr w:type="gramStart"/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. ”</w:t>
      </w:r>
      <w:proofErr w:type="gramEnd"/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All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of 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book 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ruined!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All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of 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books are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ruined!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Some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of 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film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funny.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Some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of 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films are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funny.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Fifty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percent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of 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house 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made of wood.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lastRenderedPageBreak/>
        <w:t>Fifty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percent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of 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houses are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made of wood.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16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When referring to distances, periods of time, or amounts of money—taken as a whole—use the singular form of the verb.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Twenty dollars is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too much for IMAX!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15C39A"/>
          <w:lang w:eastAsia="en-IN" w:bidi="hi-IN"/>
        </w:rPr>
        <w:t>17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Be careful of nouns that exist only in the plural form; they sometimes act as singular.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news has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been depressing lately.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Politics is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getting too combative.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However, some of these nouns act as plural.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scissors do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not work.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If a plural noun is preceded by the word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pair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, treat the subject as singular because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pair</w:t>
      </w:r>
      <w:r w:rsidRPr="002251D4"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  <w:t> is singular.  </w:t>
      </w:r>
    </w:p>
    <w:p w:rsidR="002251D4" w:rsidRPr="002251D4" w:rsidRDefault="002251D4" w:rsidP="002251D4">
      <w:pPr>
        <w:spacing w:after="240" w:line="480" w:lineRule="atLeast"/>
        <w:rPr>
          <w:rFonts w:ascii="Arial" w:eastAsia="Times New Roman" w:hAnsi="Arial" w:cs="Arial"/>
          <w:color w:val="3B3E4D"/>
          <w:sz w:val="27"/>
          <w:szCs w:val="27"/>
          <w:lang w:eastAsia="en-IN" w:bidi="hi-IN"/>
        </w:rPr>
      </w:pP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The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pair 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of scissors </w:t>
      </w:r>
      <w:r w:rsidRPr="002251D4">
        <w:rPr>
          <w:rFonts w:ascii="Arial" w:eastAsia="Times New Roman" w:hAnsi="Arial" w:cs="Arial"/>
          <w:b/>
          <w:bCs/>
          <w:i/>
          <w:iCs/>
          <w:color w:val="3B3E4D"/>
          <w:sz w:val="27"/>
          <w:szCs w:val="27"/>
          <w:lang w:eastAsia="en-IN" w:bidi="hi-IN"/>
        </w:rPr>
        <w:t>does</w:t>
      </w:r>
      <w:r w:rsidRPr="002251D4">
        <w:rPr>
          <w:rFonts w:ascii="Arial" w:eastAsia="Times New Roman" w:hAnsi="Arial" w:cs="Arial"/>
          <w:i/>
          <w:iCs/>
          <w:color w:val="3B3E4D"/>
          <w:sz w:val="27"/>
          <w:szCs w:val="27"/>
          <w:lang w:eastAsia="en-IN" w:bidi="hi-IN"/>
        </w:rPr>
        <w:t> not work. </w:t>
      </w:r>
    </w:p>
    <w:p w:rsidR="00896F30" w:rsidRDefault="00896F30">
      <w:bookmarkStart w:id="0" w:name="_GoBack"/>
      <w:bookmarkEnd w:id="0"/>
    </w:p>
    <w:sectPr w:rsidR="0089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724C"/>
    <w:multiLevelType w:val="multilevel"/>
    <w:tmpl w:val="294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D4"/>
    <w:rsid w:val="002251D4"/>
    <w:rsid w:val="008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3EEBC-6E71-4AAA-9FA8-CC524823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1D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2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2251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51D4"/>
    <w:rPr>
      <w:b/>
      <w:bCs/>
    </w:rPr>
  </w:style>
  <w:style w:type="character" w:customStyle="1" w:styleId="toolnumber">
    <w:name w:val="tool__number"/>
    <w:basedOn w:val="DefaultParagraphFont"/>
    <w:rsid w:val="002251D4"/>
  </w:style>
  <w:style w:type="character" w:styleId="Emphasis">
    <w:name w:val="Emphasis"/>
    <w:basedOn w:val="DefaultParagraphFont"/>
    <w:uiPriority w:val="20"/>
    <w:qFormat/>
    <w:rsid w:val="00225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ly.com/blog/verbs/" TargetMode="External"/><Relationship Id="rId13" Type="http://schemas.openxmlformats.org/officeDocument/2006/relationships/hyperlink" Target="https://www.grammarly.com/blog/infinitives/" TargetMode="External"/><Relationship Id="rId18" Type="http://schemas.openxmlformats.org/officeDocument/2006/relationships/hyperlink" Target="https://www.grammarly.com/blog/there-is-there-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mmarly.com/blog/irregular-verbs/" TargetMode="External"/><Relationship Id="rId12" Type="http://schemas.openxmlformats.org/officeDocument/2006/relationships/hyperlink" Target="https://www.grammarly.com/blog/gerund/" TargetMode="External"/><Relationship Id="rId17" Type="http://schemas.openxmlformats.org/officeDocument/2006/relationships/hyperlink" Target="https://www.grammarly.com/blog/active-vs-passive-vo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mmarly.com/blog/comma-with-subjects-and-verb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rammarly.com/blog/first-second-and-third-person/" TargetMode="External"/><Relationship Id="rId11" Type="http://schemas.openxmlformats.org/officeDocument/2006/relationships/hyperlink" Target="https://www.grammarly.com/blog/collective-nouns/" TargetMode="External"/><Relationship Id="rId5" Type="http://schemas.openxmlformats.org/officeDocument/2006/relationships/hyperlink" Target="https://www.grammarly.com/blog/pronouns/" TargetMode="External"/><Relationship Id="rId15" Type="http://schemas.openxmlformats.org/officeDocument/2006/relationships/hyperlink" Target="https://www.grammarly.com/blog/appositive/" TargetMode="External"/><Relationship Id="rId10" Type="http://schemas.openxmlformats.org/officeDocument/2006/relationships/hyperlink" Target="https://www.grammarly.com/blog/mass-nou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ammarly.com/blog/predicate/" TargetMode="External"/><Relationship Id="rId14" Type="http://schemas.openxmlformats.org/officeDocument/2006/relationships/hyperlink" Target="https://www.grammarly.com/blog/partici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2022-11-13T08:07:00Z</dcterms:created>
  <dcterms:modified xsi:type="dcterms:W3CDTF">2022-11-13T08:08:00Z</dcterms:modified>
</cp:coreProperties>
</file>