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2A44"/>
          <w:sz w:val="56"/>
          <w:szCs w:val="56"/>
        </w:rPr>
        <w:t xml:space="preserve">TenderSense</w:t>
      </w:r>
    </w:p>
    <w:p>
      <w:pPr>
        <w:spacing w:after="60" w:before="160"/>
        <w:jc w:val="center"/>
      </w:pPr>
      <w:r>
        <w:rPr>
          <w:b/>
          <w:bCs/>
          <w:color w:val="C0392B"/>
          <w:sz w:val="30"/>
          <w:szCs w:val="30"/>
        </w:rPr>
        <w:t xml:space="preserve">Software Requirements Specification</w:t>
      </w:r>
    </w:p>
    <w:p>
      <w:pPr>
        <w:spacing w:after="800"/>
        <w:jc w:val="center"/>
      </w:pPr>
      <w:r>
        <w:rPr>
          <w:b/>
          <w:bCs/>
          <w:color w:val="C0392B"/>
          <w:sz w:val="30"/>
          <w:szCs w:val="30"/>
        </w:rPr>
        <w:t xml:space="preserve">&amp; Implementation Plan</w:t>
      </w:r>
    </w:p>
    <w:p>
      <w:pPr>
        <w:spacing w:after="40"/>
        <w:jc w:val="center"/>
      </w:pPr>
      <w:r>
        <w:rPr>
          <w:sz w:val="21"/>
          <w:szCs w:val="21"/>
        </w:rPr>
        <w:t xml:space="preserve">Prepared for: BracIT — TenderSense Build Team</w:t>
      </w:r>
    </w:p>
    <w:p>
      <w:pPr>
        <w:spacing w:after="40"/>
        <w:jc w:val="center"/>
      </w:pPr>
      <w:r>
        <w:rPr>
          <w:sz w:val="21"/>
          <w:szCs w:val="21"/>
        </w:rPr>
        <w:t xml:space="preserve">Based on BRD by Aisha Tanjina · Employee PIN 2348</w:t>
      </w:r>
    </w:p>
    <w:p>
      <w:pPr>
        <w:spacing w:after="40"/>
        <w:jc w:val="center"/>
      </w:pPr>
      <w:r>
        <w:rPr>
          <w:sz w:val="21"/>
          <w:szCs w:val="21"/>
        </w:rPr>
        <w:t xml:space="preserve">Version 1.0 · September 2026</w:t>
      </w:r>
    </w:p>
    <w:p>
      <w:pPr>
        <w:spacing w:before="1400"/>
        <w:jc w:val="center"/>
      </w:pPr>
      <w:r>
        <w:rPr>
          <w:i/>
          <w:iCs/>
          <w:color w:val="5A5A5A"/>
          <w:sz w:val="18"/>
          <w:szCs w:val="18"/>
        </w:rPr>
        <w:t xml:space="preserve">Internal Use — CMMI Dev/3 · ISO 27001 · ISO 9001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spacing w:after="300"/>
      </w:pPr>
      <w:r>
        <w:rPr>
          <w:b/>
          <w:bCs/>
          <w:color w:val="C0392B"/>
          <w:sz w:val="26"/>
          <w:szCs w:val="26"/>
        </w:rPr>
        <w:t xml:space="preserve">PART A — SOFTWARE REQUIREMENTS SPECIFICATION</w:t>
      </w:r>
    </w:p>
    <w:p>
      <w:pPr>
        <w:pStyle w:val="Heading1"/>
        <w:spacing w:after="160" w:before="360"/>
      </w:pPr>
      <w:r>
        <w:t xml:space="preserve">1. Introduction</w:t>
      </w:r>
    </w:p>
    <w:p>
      <w:pPr>
        <w:pStyle w:val="Heading2"/>
        <w:spacing w:after="120" w:before="280"/>
      </w:pPr>
      <w:r>
        <w:t xml:space="preserve">1.1 Purpose</w:t>
      </w:r>
    </w:p>
    <w:p>
      <w:pPr>
        <w:spacing w:after="140" w:line="276"/>
      </w:pPr>
      <w:r>
        <w:t xml:space="preserve">This SRS translates the TenderSense BRD (Aisha Tanjina, PIN 2348) into requirements a build team can implement directly on the agreed stack: Angular (frontend), Spring Boot (core backend/API), PostgreSQL and MongoDB (data layer), and Python (ingestion + AI/ML microservice). It is the single reference for what the system must do, how it is structured, and how "done" will be verified — including for the 7-day build and demo described in the BRD.</w:t>
      </w:r>
    </w:p>
    <w:p>
      <w:pPr>
        <w:pStyle w:val="Heading2"/>
        <w:spacing w:after="120" w:before="280"/>
      </w:pPr>
      <w:r>
        <w:t xml:space="preserve">1.2 Scope</w:t>
      </w:r>
    </w:p>
    <w:p>
      <w:pPr>
        <w:spacing w:after="140" w:line="276"/>
      </w:pPr>
      <w:r>
        <w:rPr>
          <w:b/>
          <w:bCs/>
        </w:rPr>
        <w:t xml:space="preserve">In scope for the initial build: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Daily automated ingestion from three named sources: World Bank Projects &amp; Operations (Procurement), ADB Institutional Procurement Notices, and Bangladesh e-GP (eprocure.gov.bd).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AI-based semantic matching of each tender against BracIT's capability profile.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 deterministic, rules-based eligibility filter (turnover, certifications, geography).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Plain-language "why matched / what's missing" summaries.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 ranked daily shortlist (S/A/B/C grades) surfaced in an Angular dashboard and delivered via a notification channel.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Bid / hold / skip decision capture per tender.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BracIT profile management (services, past projects, certifications, turnover).</w:t>
      </w:r>
    </w:p>
    <w:p>
      <w:pPr>
        <w:spacing w:after="140" w:line="276"/>
      </w:pPr>
      <w:r>
        <w:rPr>
          <w:b/>
          <w:bCs/>
        </w:rPr>
        <w:t xml:space="preserve">Out of scope for v1 (see Section 12, Future Roadmap):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UNGM, additional MDB feeds, and Bangla-language NLP.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Automated bid submission — TenderSense recommends, it does not submit bids.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Automated bid/no-go audit logging beyond a simple manual decision log.</w:t>
      </w:r>
    </w:p>
    <w:p>
      <w:pPr>
        <w:pStyle w:val="Heading2"/>
        <w:spacing w:after="120" w:before="280"/>
      </w:pPr>
      <w:r>
        <w:t xml:space="preserve">1.3 Definitions, Acronyms and Abbreviations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8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e-GP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Bangladesh's National e-Government Procurement portal (eprocure.gov.bd), run under BPPA.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STEP</w:t>
            </w:r>
          </w:p>
        </w:tc>
        <w:tc>
          <w:tcPr>
            <w:tcW w:type="dxa" w:w="6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World Bank's Systematic Tracking of Exchanges in Procurement platform.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BD team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BracIT's Business Development team — the primary users of TenderSense.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Grade (S/A/B/C)</w:t>
            </w:r>
          </w:p>
        </w:tc>
        <w:tc>
          <w:tcPr>
            <w:tcW w:type="dxa" w:w="6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simplified rank of match strength, derived from the AI similarity score and eligibility outcome.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Eligibility engine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deterministic, rules-based component that checks hard go/no-go criteria.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Embedding</w:t>
            </w:r>
          </w:p>
        </w:tc>
        <w:tc>
          <w:tcPr>
            <w:tcW w:type="dxa" w:w="6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numeric vector representation of text used to compare meaning rather than exact keywords.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BracIT profile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Structured record of BracIT's services, past projects, certifications and turnover, used as the comparison baseline.</w:t>
            </w:r>
          </w:p>
        </w:tc>
      </w:tr>
    </w:tbl>
    <w:p>
      <w:pPr>
        <w:pStyle w:val="Heading2"/>
        <w:spacing w:after="120" w:before="280"/>
      </w:pPr>
      <w:r>
        <w:t xml:space="preserve">1.4 References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TenderSense — Project BRD, Aisha Tanjina (Employee PIN 2348), BracIT internal hackathon submission.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World Bank Procurement Notices API — search.worldbank.org/api/v2/procnotices (public JSON, no authentication).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World Bank Projects &amp; Operations — Procurement: projects.worldbank.org/en/projects-operations/procurement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ADB Institutional Procurement Notices: adb.org/business/institutional-procurement/notices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Bangladesh e-GP portal: eprocure.gov.bd (tender search, RSS feed, and eGP Guidelines 2025).</w:t>
      </w:r>
    </w:p>
    <w:p>
      <w:pPr>
        <w:pStyle w:val="Heading2"/>
        <w:spacing w:after="120" w:before="280"/>
      </w:pPr>
      <w:r>
        <w:t xml:space="preserve">1.5 Document Conventions</w:t>
      </w:r>
    </w:p>
    <w:p>
      <w:pPr>
        <w:spacing w:after="140" w:line="276"/>
      </w:pPr>
      <w:r>
        <w:t xml:space="preserve">Functional requirements are numbered FR-1, FR-2 … and tagged with MoSCoW priority (Must / Should / Could). Non-functional requirements are numbered NFR-1, NFR-2 … Each references, where relevant, the BRD section it satisfies.</w:t>
      </w:r>
    </w:p>
    <w:p>
      <w:pPr>
        <w:pStyle w:val="Heading1"/>
        <w:spacing w:after="160" w:before="360"/>
      </w:pPr>
      <w:r>
        <w:t xml:space="preserve">2. Overall Description</w:t>
      </w:r>
    </w:p>
    <w:p>
      <w:pPr>
        <w:pStyle w:val="Heading2"/>
        <w:spacing w:after="120" w:before="280"/>
      </w:pPr>
      <w:r>
        <w:t xml:space="preserve">2.1 Product Perspective</w:t>
      </w:r>
    </w:p>
    <w:p>
      <w:pPr>
        <w:spacing w:after="140" w:line="276"/>
      </w:pPr>
      <w:r>
        <w:t xml:space="preserve">TenderSense is a new, standalone internal web application. It is not a component of an existing BracIT system; it integrates with three external, unauthenticated public procurement sources and one LLM/embedding provider, and exposes a single Angular dashboard to the BD team. It runs alongside — not in place of — BracIT's existing bid-decision process; it changes only how opportunities are surfaced.</w:t>
      </w:r>
    </w:p>
    <w:p>
      <w:pPr>
        <w:pStyle w:val="Heading2"/>
        <w:spacing w:after="120" w:before="280"/>
      </w:pPr>
      <w:r>
        <w:t xml:space="preserve">2.2 Product Functions (summary)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Collect: automatically pull new tenders from e-GP Bangladesh and World Bank STEP/Procurement (and ADB institutional notices) on a daily schedule.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Match: score each tender against BracIT's profile by meaning, not keywords.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Filter: flag tenders BracIT cannot bid on, with a stated reason, using fixed rules.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Deliver: a ranked daily shortlist — grade, match reason, missing requirements, days to deadline.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Decide: let BD capture a bid / hold / skip decision against each tender.</w:t>
      </w:r>
    </w:p>
    <w:p>
      <w:pPr>
        <w:pStyle w:val="Heading2"/>
        <w:spacing w:after="120" w:before="280"/>
      </w:pPr>
      <w:r>
        <w:t xml:space="preserve">2.3 User Classes and Characteristics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/>
        </w:trPr>
        <w:tc>
          <w:tcPr>
            <w:tcW w:type="dxa" w:w="2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class</w:t>
            </w:r>
          </w:p>
        </w:tc>
        <w:tc>
          <w:tcPr>
            <w:tcW w:type="dxa" w:w="3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Typical use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BD Executive (primary)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Reviews the daily shortlist and works tenders.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Opens dashboard each morning; filters by grade/deadline; records bid decisions.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BD Unit Lead (admin)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Owns BracIT's profile and final bid calls.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Maintains services/certifications/turnover; reviews borderline (B/C) tenders.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 Admin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Maintains source health, users, and rule configuration.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Monitors ingestion jobs; edits eligibility rule thresholds; manages accounts.</w:t>
            </w:r>
          </w:p>
        </w:tc>
      </w:tr>
    </w:tbl>
    <w:p>
      <w:pPr>
        <w:pStyle w:val="Heading2"/>
        <w:spacing w:after="120" w:before="280"/>
      </w:pPr>
      <w: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Client: latest two versions of Chrome, Edge and Firefox, desktop-first responsive layout (Angular Material breakpoints).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Server: containerised Linux services (Docker), deployable to a single cloud VM for the hackathon demo and to a managed Kubernetes/PaaS environment thereafter.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Data stores: PostgreSQL 15+ and MongoDB 6+, run as separate containers/services.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AI microservice: Python 3.11 (FastAPI), called internally by Spring Boot — never exposed to the public internet.</w:t>
      </w:r>
    </w:p>
    <w:p>
      <w:pPr>
        <w:pStyle w:val="Heading2"/>
        <w:spacing w:after="120" w:before="280"/>
      </w:pPr>
      <w: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Stack is fixed: Angular · Spring Boot · PostgreSQL/MongoDB · Python where AI/scraping needs it — no substitutions.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Only the World Bank source exposes a documented open JSON API; ADB and e-GP have no API and must be scraped or read via RSS (see Section 9).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e-GP's tender search page uses JSP postback pagination ("Page 1 of 10", javascript:void(0) links) rather than plain query-string paging, and serves bilingual (Bangla/English) content.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7-day build window per the BRD — architecture favours a small number of deployable units over a large microservice sprawl.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Eligibility must be deterministic, not AI-driven, per BRD Section 7 ("no guesswork").</w:t>
      </w:r>
    </w:p>
    <w:p>
      <w:pPr>
        <w:pStyle w:val="Heading2"/>
        <w:spacing w:after="120" w:before="280"/>
      </w:pPr>
      <w: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BracIT's capability profile (services, 10+ past projects, certifications, turnover) and the 40 labelled test tenders are supplied by the project owner on Day 1.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An LLM/embedding API key (OpenAI or Anthropic) is available; an open-source sentence-transformers fallback is used if it is not, or if quota is a demo-day risk.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Outbound network access to worldbank.org, adb.org and eprocure.gov.bd is permitted from the build/demo environment.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Portal structures (HTML/DOM, API shape) may change without notice; ingestion is built to fail soft (see NFR-3, Section 5.3).</w:t>
      </w:r>
    </w:p>
    <w:p>
      <w:pPr>
        <w:pStyle w:val="Heading1"/>
        <w:spacing w:after="160" w:before="360"/>
      </w:pPr>
      <w:r>
        <w:t xml:space="preserve">3. System Features (Functional Requirements)</w:t>
      </w:r>
    </w:p>
    <w:p>
      <w:pPr>
        <w:pStyle w:val="Heading2"/>
        <w:spacing w:after="120" w:before="280"/>
      </w:pPr>
      <w:r>
        <w:t xml:space="preserve">FR-1 — Tender Ingestion</w:t>
      </w:r>
    </w:p>
    <w:p>
      <w:pPr>
        <w:spacing w:after="140" w:line="276"/>
      </w:pPr>
      <w:r>
        <w:rPr>
          <w:b/>
          <w:bCs/>
        </w:rPr>
        <w:t xml:space="preserve">Priority: Must.</w:t>
      </w:r>
    </w:p>
    <w:p>
      <w:pPr>
        <w:spacing w:after="140" w:line="276"/>
      </w:pPr>
      <w:r>
        <w:t xml:space="preserve">Description: The system automatically retrieves new/updated tender notices from World Bank, ADB and e-GP Bangladesh on a daily schedule, normalises them into a common schema, and stores both the raw source payload and the normalised record.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Trigger: scheduled job (default 06:00 Asia/Dhaka, configurable), plus a manual "run now" for demo purposes.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Input: source-specific HTML/JSON payloads; for the demo dataset, the 40 pre-labelled tenders supplied on Day 1.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Output: normalised tender records in MongoDB (raw) and PostgreSQL (structured metadata) with a source, external ID, and ingestion timestamp.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Acceptance: duplicate notices (same external ID + source) are not re-inserted; a failed source does not block ingestion from the other two sources.</w:t>
      </w:r>
    </w:p>
    <w:p>
      <w:pPr>
        <w:pStyle w:val="Heading2"/>
        <w:spacing w:after="120" w:before="280"/>
      </w:pPr>
      <w:r>
        <w:t xml:space="preserve">FR-2 — BracIT Profile Management</w:t>
      </w:r>
    </w:p>
    <w:p>
      <w:pPr>
        <w:spacing w:after="140" w:line="276"/>
      </w:pPr>
      <w:r>
        <w:rPr>
          <w:b/>
          <w:bCs/>
        </w:rPr>
        <w:t xml:space="preserve">Priority: Must.</w:t>
      </w:r>
    </w:p>
    <w:p>
      <w:pPr>
        <w:spacing w:after="140" w:line="276"/>
      </w:pPr>
      <w:r>
        <w:t xml:space="preserve">Description: The BD Unit Lead can create and edit BracIT's capability profile: service lines, past projects (10+), certifications, and annual turnover. This profile is the comparison baseline for both matching (FR-3) and eligibility (FR-4).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Acceptance: profile changes take effect on the next matching run without a deployment; profile history is retained (who changed what, when).</w:t>
      </w:r>
    </w:p>
    <w:p>
      <w:pPr>
        <w:pStyle w:val="Heading2"/>
        <w:spacing w:after="120" w:before="280"/>
      </w:pPr>
      <w:r>
        <w:t xml:space="preserve">FR-3 — AI Matching Engine</w:t>
      </w:r>
    </w:p>
    <w:p>
      <w:pPr>
        <w:spacing w:after="140" w:line="276"/>
      </w:pPr>
      <w:r>
        <w:rPr>
          <w:b/>
          <w:bCs/>
        </w:rPr>
        <w:t xml:space="preserve">Priority: Must.</w:t>
      </w:r>
    </w:p>
    <w:p>
      <w:pPr>
        <w:spacing w:after="140" w:line="276"/>
      </w:pPr>
      <w:r>
        <w:t xml:space="preserve">Description: For each normalised tender, the system computes a semantic similarity score between the tender description and BracIT's profile, using text embeddings rather than keyword overlap, so that e.g. "digital governance capacity building" matches BracIT's "ICT systems implementation."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Output: a similarity score (0–1) and a derived grade (S/A/B/C) once combined with the eligibility outcome (FR-4).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Acceptance: on the 12 held-out test tenders, TenderSense's top-5 picks contain more relevant tenders than a simple keyword search baseline (mirrors BRD Section 10).</w:t>
      </w:r>
    </w:p>
    <w:p>
      <w:pPr>
        <w:pStyle w:val="Heading2"/>
        <w:spacing w:after="120" w:before="280"/>
      </w:pPr>
      <w:r>
        <w:t xml:space="preserve">FR-4 — Eligibility Rules Engine</w:t>
      </w:r>
    </w:p>
    <w:p>
      <w:pPr>
        <w:spacing w:after="140" w:line="276"/>
      </w:pPr>
      <w:r>
        <w:rPr>
          <w:b/>
          <w:bCs/>
        </w:rPr>
        <w:t xml:space="preserve">Priority: Must.</w:t>
      </w:r>
    </w:p>
    <w:p>
      <w:pPr>
        <w:spacing w:after="140" w:line="276"/>
      </w:pPr>
      <w:r>
        <w:t xml:space="preserve">Description: A fixed, rules-based (non-AI) check of hard go/no-go criteria — minimum turnover, required certifications, allowed geography — run against every ingested tender. Each failed rule returns a specific, human-readable reason.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Acceptance: eligibility outcomes are 100% reproducible for the same profile + tender inputs; rule thresholds are editable by an Admin without a code change.</w:t>
      </w:r>
    </w:p>
    <w:p>
      <w:pPr>
        <w:pStyle w:val="Heading2"/>
        <w:spacing w:after="120" w:before="280"/>
      </w:pPr>
      <w:r>
        <w:t xml:space="preserve">FR-5 — Summary Generation</w:t>
      </w:r>
    </w:p>
    <w:p>
      <w:pPr>
        <w:spacing w:after="140" w:line="276"/>
      </w:pPr>
      <w:r>
        <w:rPr>
          <w:b/>
          <w:bCs/>
        </w:rPr>
        <w:t xml:space="preserve">Priority: Should.</w:t>
      </w:r>
    </w:p>
    <w:p>
      <w:pPr>
        <w:spacing w:after="140" w:line="276"/>
      </w:pPr>
      <w:r>
        <w:t xml:space="preserve">Description: An LLM-backed writer produces a short, plain-language explanation of why a tender matched and what is still missing to bid, for display alongside each shortlist entry. It only writes prose — it never determines eligibility or the grade.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Acceptance: every S/A/B tender in the shortlist has a non-empty summary; generation failure degrades to showing the raw match reason rather than blocking the shortlist.</w:t>
      </w:r>
    </w:p>
    <w:p>
      <w:pPr>
        <w:pStyle w:val="Heading2"/>
        <w:spacing w:after="120" w:before="280"/>
      </w:pPr>
      <w:r>
        <w:t xml:space="preserve">FR-6 — Shortlist Delivery</w:t>
      </w:r>
    </w:p>
    <w:p>
      <w:pPr>
        <w:spacing w:after="140" w:line="276"/>
      </w:pPr>
      <w:r>
        <w:rPr>
          <w:b/>
          <w:bCs/>
        </w:rPr>
        <w:t xml:space="preserve">Priority: Must.</w:t>
      </w:r>
    </w:p>
    <w:p>
      <w:pPr>
        <w:spacing w:after="140" w:line="276"/>
      </w:pPr>
      <w:r>
        <w:t xml:space="preserve">Description: A ranked daily shortlist (grade, why-matched, what's-needed, days-to-deadline) is available in the dashboard each morning and can be pushed via email/Slack webhook.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Acceptance: shortlist is generated within the ingestion + matching pipeline's processing window and reflects the latest BracIT profile.</w:t>
      </w:r>
    </w:p>
    <w:p>
      <w:pPr>
        <w:pStyle w:val="Heading2"/>
        <w:spacing w:after="120" w:before="280"/>
      </w:pPr>
      <w:r>
        <w:t xml:space="preserve">FR-7 — Angular Dashboard &amp; Tender Workspace</w:t>
      </w:r>
    </w:p>
    <w:p>
      <w:pPr>
        <w:spacing w:after="140" w:line="276"/>
      </w:pPr>
      <w:r>
        <w:rPr>
          <w:b/>
          <w:bCs/>
        </w:rPr>
        <w:t xml:space="preserve">Priority: Must.</w:t>
      </w:r>
    </w:p>
    <w:p>
      <w:pPr>
        <w:spacing w:after="140" w:line="276"/>
      </w:pPr>
      <w:r>
        <w:t xml:space="preserve">Description: BD users browse the shortlist, filter by grade/deadline/eligibility, open a tender detail view (full notice, match reason, eligibility gaps, deadline countdown), and record a bid/hold/skip decision.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Acceptance: filtering and sorting operate client-side on the loaded shortlist for responsiveness; a decision recorded in the UI is persisted and reflected on reload.</w:t>
      </w:r>
    </w:p>
    <w:p>
      <w:pPr>
        <w:pStyle w:val="Heading2"/>
        <w:spacing w:after="120" w:before="280"/>
      </w:pPr>
      <w:r>
        <w:t xml:space="preserve">FR-8 — User &amp; Access Management</w:t>
      </w:r>
    </w:p>
    <w:p>
      <w:pPr>
        <w:spacing w:after="140" w:line="276"/>
      </w:pPr>
      <w:r>
        <w:rPr>
          <w:b/>
          <w:bCs/>
        </w:rPr>
        <w:t xml:space="preserve">Priority: Should.</w:t>
      </w:r>
    </w:p>
    <w:p>
      <w:pPr>
        <w:spacing w:after="140" w:line="276"/>
      </w:pPr>
      <w:r>
        <w:t xml:space="preserve">Description: Role-based accounts (BD Executive, BD Unit Lead, Admin) with authenticated login; Admin manages users and eligibility rule configuration.</w:t>
      </w:r>
    </w:p>
    <w:p>
      <w:pPr>
        <w:pStyle w:val="Heading2"/>
        <w:spacing w:after="120" w:before="280"/>
      </w:pPr>
      <w:r>
        <w:t xml:space="preserve">FR-9 — Bid Decision Log</w:t>
      </w:r>
    </w:p>
    <w:p>
      <w:pPr>
        <w:spacing w:after="140" w:line="276"/>
      </w:pPr>
      <w:r>
        <w:rPr>
          <w:b/>
          <w:bCs/>
        </w:rPr>
        <w:t xml:space="preserve">Priority: Could (v1) → Must (roadmap).</w:t>
      </w:r>
    </w:p>
    <w:p>
      <w:pPr>
        <w:spacing w:after="140" w:line="276"/>
      </w:pPr>
      <w:r>
        <w:t xml:space="preserve">Description: A simple, timestamped log of bid/hold/skip decisions per tender and per user. Automated bid/no-go logging with reasoning capture is explicitly deferred to the roadmap (BRD Section 4, "Future").</w:t>
      </w:r>
    </w:p>
    <w:p>
      <w:pPr>
        <w:pStyle w:val="Heading1"/>
        <w:spacing w:after="160" w:before="360"/>
      </w:pPr>
      <w:r>
        <w:t xml:space="preserve">4. External Interface Requirements</w:t>
      </w:r>
    </w:p>
    <w:p>
      <w:pPr>
        <w:pStyle w:val="Heading2"/>
        <w:spacing w:after="120" w:before="280"/>
      </w:pPr>
      <w:r>
        <w:t xml:space="preserve">4.1 User Interfaces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Login screen (email/password or SSO placeholder).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Shortlist dashboard — card/table view grouped or filterable by grade, with deadline urgency flags.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Tender detail view — full notice text, match explanation, eligibility checklist, bid/hold/skip control.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BracIT profile editor — services, past projects, certifications, turnover.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Admin console — users, eligibility rule thresholds, source health (last successful pull per source).</w:t>
      </w:r>
    </w:p>
    <w:p>
      <w:pPr>
        <w:pStyle w:val="Heading2"/>
        <w:spacing w:after="120" w:before="280"/>
      </w:pPr>
      <w:r>
        <w:t xml:space="preserve">4.2 Hardware Interfaces</w:t>
      </w:r>
    </w:p>
    <w:p>
      <w:pPr>
        <w:spacing w:after="140" w:line="276"/>
      </w:pPr>
      <w:r>
        <w:t xml:space="preserve">None beyond standard client devices (desktop/laptop browser) and commodity server/cloud compute — no specialised hardware is required.</w:t>
      </w:r>
    </w:p>
    <w:p>
      <w:pPr>
        <w:pStyle w:val="Heading2"/>
        <w:spacing w:after="120" w:before="280"/>
      </w:pPr>
      <w:r>
        <w:t xml:space="preserve">4.3 Software Interfaces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0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External system</w:t>
            </w:r>
          </w:p>
        </w:tc>
        <w:tc>
          <w:tcPr>
            <w:tcW w:type="dxa" w:w="3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Interface type</w:t>
            </w:r>
          </w:p>
        </w:tc>
        <w:tc>
          <w:tcPr>
            <w:tcW w:type="dxa" w:w="3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World Bank Procurement Notices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REST/JSON, search.worldbank.org/api/v2/procnotices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Open, unauthenticated, documented; filterable by country/sector; primary integration path in place of scraping the projects.worldbank.org UI.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ADB Institutional Procurement Notices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HTML scrape (adb.org/business/institutional-procurement/notices)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Static Drupal page, no API; low volume; structure-change risk monitored via source health checks.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Bangladesh e-GP (eprocure.gov.bd)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RSS feed + headless-browser scrape (JSP postback search/pagination)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public API; RSS used for lightweight discovery, headless browser (e.g. Playwright) for full notice detail when needed; bilingual content.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LLM / embedding provider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REST/JSON (OpenAI or Anthropic; open-source sentence-transformers fallback)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Used for FR-3 (matching) and FR-5 (summaries) only; never used for FR-4 eligibility.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 channel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SMTP or Slack/Teams webhook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Delivers the daily shortlist digest.</w:t>
            </w:r>
          </w:p>
        </w:tc>
      </w:tr>
    </w:tbl>
    <w:p>
      <w:pPr>
        <w:pStyle w:val="Heading2"/>
        <w:spacing w:after="120" w:before="280"/>
      </w:pPr>
      <w:r>
        <w:t xml:space="preserve">4.4 Communication Interfaces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All client–server and Spring Boot ↔ Python traffic is HTTPS/REST with JSON payloads.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Authentication via JWT bearer tokens issued by Spring Security.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The Python AI microservice is internal-only, reachable solely from the Spring Boot backend (no direct browser access).</w:t>
      </w:r>
    </w:p>
    <w:p>
      <w:pPr>
        <w:pStyle w:val="Heading1"/>
        <w:spacing w:after="160" w:before="360"/>
      </w:pPr>
      <w:r>
        <w:t xml:space="preserve">5. Non-Functional Requirements</w:t>
      </w:r>
    </w:p>
    <w:p>
      <w:pPr>
        <w:pStyle w:val="Heading2"/>
        <w:spacing w:after="120" w:before="280"/>
      </w:pPr>
      <w:r>
        <w:t xml:space="preserve">5.1 Performance (NFR-1)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Process and score a single tender end-to-end in under 60 seconds (matches BRD Section 10 target, vs. ~2 hours manual).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Dashboard shortlist view loads in under 2 seconds for a typical daily batch (≤200 new/updated tenders).</w:t>
      </w:r>
    </w:p>
    <w:p>
      <w:pPr>
        <w:pStyle w:val="Heading2"/>
        <w:spacing w:after="120" w:before="280"/>
      </w:pPr>
      <w:r>
        <w:t xml:space="preserve">5.2 Security (NFR-2)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JWT-based authentication, role-based authorisation (BD Executive / BD Unit Lead / Admin).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Secrets (DB credentials, LLM API keys) held in environment/secret-manager configuration, never in source control.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Handled in line with BracIT's ISO 27001-aligned practices; only publicly published tender data is stored — no personal data of third parties.</w:t>
      </w:r>
    </w:p>
    <w:p>
      <w:pPr>
        <w:pStyle w:val="Heading2"/>
        <w:spacing w:after="120" w:before="280"/>
      </w:pPr>
      <w:r>
        <w:t xml:space="preserve">5.3 Reliability &amp; Availability (NFR-3)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Each source is ingested independently; a failure or structure change in one source (most likely ADB or e-GP) must not stop ingestion from the others.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Ingestion jobs retry with backoff and log failures to a source-health record visible in the Admin console.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If a live source is unreachable during the demo, the system falls back to the last successful pull or the pre-labelled 40-tender dataset (per BRD demo-risk mitigation).</w:t>
      </w:r>
    </w:p>
    <w:p>
      <w:pPr>
        <w:pStyle w:val="Heading2"/>
        <w:spacing w:after="120" w:before="280"/>
      </w:pPr>
      <w:r>
        <w:t xml:space="preserve">5.4 Scalability (NFR-4)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Spring Boot services are stateless and horizontally scalable behind a load balancer.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MongoDB holds variable-schema raw payloads and can scale independently of the relational store.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The Python matching service can be scaled out separately from the Java backend, since embedding computation is the most CPU/GPU-intensive step.</w:t>
      </w:r>
    </w:p>
    <w:p>
      <w:pPr>
        <w:pStyle w:val="Heading2"/>
        <w:spacing w:after="120" w:before="280"/>
      </w:pPr>
      <w:r>
        <w:t xml:space="preserve">5.5 Maintainability (NFR-5)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Eligibility thresholds and grade cut-offs are configuration, not code, so they can be tuned without a redeploy.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BracIT profile changes are versioned, so a matching result can be traced back to the profile version used.</w:t>
      </w:r>
    </w:p>
    <w:p>
      <w:pPr>
        <w:pStyle w:val="Heading2"/>
        <w:spacing w:after="120" w:before="280"/>
      </w:pPr>
      <w:r>
        <w:t xml:space="preserve">5.6 Compliance &amp; Legal (NFR-6)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Ingestion respects each source's robots.txt/terms of use and applies rate limiting/backoff, per the World Bank API guidance on being "respectful of server resources."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Only publicly published procurement information is collected; source attribution is retained on every stored record.</w:t>
      </w:r>
    </w:p>
    <w:p>
      <w:pPr>
        <w:pStyle w:val="Heading2"/>
        <w:spacing w:after="120" w:before="280"/>
      </w:pPr>
      <w:r>
        <w:t xml:space="preserve">5.7 Usability (NFR-7)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Grades are shown as S/A/B/C, not raw percentages, per BRD Section 6 ("easy to act on, no confusing percentages").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Every shortlist entry carries a one-line, plain-language reason — no unexplained scores.</w:t>
      </w:r>
    </w:p>
    <w:p>
      <w:pPr>
        <w:pStyle w:val="Heading1"/>
        <w:spacing w:after="160" w:before="360"/>
      </w:pPr>
      <w:r>
        <w:t xml:space="preserve">6. System Architecture</w:t>
      </w:r>
    </w:p>
    <w:p>
      <w:pPr>
        <w:pStyle w:val="Heading2"/>
        <w:spacing w:after="120" w:before="280"/>
      </w:pPr>
      <w:r>
        <w:t xml:space="preserve">6.1 High-Level Architecture</w:t>
      </w:r>
    </w:p>
    <w:p>
      <w:pPr>
        <w:spacing w:after="140" w:line="276"/>
      </w:pPr>
      <w:r>
        <w:t xml:space="preserve">TenderSense is organised into five layers: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t xml:space="preserve">Presentation — Angular SPA (Angular Material), talking to the backend only over REST/JSON.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t xml:space="preserve">API / Core services — Spring Boot: auth, profile management, eligibility engine, tender/shortlist API, decision log, orchestration of the matching pipeline.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t xml:space="preserve">AI microservice — Python (FastAPI): embeddings, similarity scoring, LLM-based summary writing. Called only by the Spring Boot layer.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t xml:space="preserve">Ingestion layer — Python schedulers/scrapers per source (World Bank API client, ADB scraper, e-GP RSS + headless-browser scraper), writing into MongoDB and, after normalisation, PostgreSQL.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t xml:space="preserve">Data layer — PostgreSQL (structured, transactional: profile, tenders metadata, decisions, users, rules) and MongoDB (raw source payloads, tender full text, embedding cache).</w:t>
      </w:r>
    </w:p>
    <w:p>
      <w:pPr>
        <w:pStyle w:val="Heading2"/>
        <w:spacing w:after="120" w:before="280"/>
      </w:pPr>
      <w:r>
        <w:t xml:space="preserve">6.2 Component Responsibilities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3900"/>
      </w:tblGrid>
      <w:tr>
        <w:trPr>
          <w:tblHeader/>
        </w:trPr>
        <w:tc>
          <w:tcPr>
            <w:tcW w:type="dxa" w:w="2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9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Web client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Angular + Angular Material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Shortlist dashboard, tender detail, profile &amp; admin screens.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Core API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Spring Boot 3 / Java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AuthN/Z, REST API, eligibility engine, orchestrates matching + summary calls, persistence via Spring Data JPA/Mongo.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 microservice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/ FastAPI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 embeddings, cosine-similarity scoring, LLM prompt calls for summaries.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Ingestion workers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(requests, BeautifulSoup, Playwright, APScheduler)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Per-source polling/scraping, normalisation, de-duplication.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Relational store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Users, BracIT profile, tenders (metadata/score/grade), eligibility rules, bid decisions, source health.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 store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MongoDB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Raw scraped/API payloads per source, full tender text, cached embeddings, scrape run logs.</w:t>
            </w:r>
          </w:p>
        </w:tc>
      </w:tr>
    </w:tbl>
    <w:p>
      <w:pPr>
        <w:pStyle w:val="Heading2"/>
        <w:spacing w:after="120" w:before="280"/>
      </w:pPr>
      <w:r>
        <w:t xml:space="preserve">6.3 End-to-End Data Flow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t xml:space="preserve">Ingestion worker pulls new/updated notices from a source and writes the raw payload to MongoDB.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t xml:space="preserve">A normaliser maps the raw payload to the common tender schema and upserts metadata into PostgreSQL (status: NEW).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t xml:space="preserve">Spring Boot's orchestration job calls the Python microservice's /match-score endpoint with the tender text and current BracIT profile.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t xml:space="preserve">Spring Boot's eligibility engine independently evaluates hard rules against the same tender and profile.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t xml:space="preserve">The similarity score and eligibility outcome are combined into a grade (S/A/B/C) and persisted.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t xml:space="preserve">For S/A/B tenders, Spring Boot calls the Python microservice's /summarize endpoint for a plain-language explanation.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t xml:space="preserve">The daily shortlist is assembled and made available to the dashboard (FR-7) and notification channel (FR-6).</w:t>
      </w:r>
    </w:p>
    <w:p>
      <w:pPr>
        <w:pStyle w:val="Heading1"/>
        <w:spacing w:after="160" w:before="360"/>
      </w:pPr>
      <w:r>
        <w:t xml:space="preserve">7. Data Model</w:t>
      </w:r>
    </w:p>
    <w:p>
      <w:pPr>
        <w:pStyle w:val="Heading2"/>
        <w:spacing w:after="120" w:before="280"/>
      </w:pPr>
      <w:r>
        <w:t xml:space="preserve">7.1 PostgreSQL (structured / transactional)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name, email, password_hash, role, created_at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bracit_profile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version, turnover_amount, updated_by, updated_at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profile_services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profile_version_id, service_name, description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past_projects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profile_version_id, title, client, sector, year, description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certifications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profile_version_id, name, issuing_body, valid_until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eligibility_rules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rule_type (turnover/certification/geography), operator, value, active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tenders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source, external_id, title, procuring_entity, publish_date, deadline_date, similarity_score, grade, eligibility_status, eligibility_reason, status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bid_decisions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tender_id, user_id, decision (bid/hold/skip), note, decided_at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source_health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source, last_run_at, last_success_at, records_pulled, last_error</w:t>
            </w:r>
          </w:p>
        </w:tc>
      </w:tr>
    </w:tbl>
    <w:p>
      <w:pPr>
        <w:pStyle w:val="Heading2"/>
        <w:spacing w:after="120" w:before="280"/>
      </w:pPr>
      <w:r>
        <w:t xml:space="preserve">7.2 MongoDB (raw / semi-structured)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6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raw_tender_documents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raw payload per source per notice (HTML/JSON as received) — the audit trail behind every normalised tender.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tender_text</w:t>
            </w:r>
          </w:p>
        </w:tc>
        <w:tc>
          <w:tcPr>
            <w:tcW w:type="dxa" w:w="6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Extracted full text (title, scope, eligibility text, attachments' text) used as embedding input.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tender_embeddings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Cached embedding vectors per tender + model version, to avoid recomputation.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scrape_run_logs</w:t>
            </w:r>
          </w:p>
        </w:tc>
        <w:tc>
          <w:tcPr>
            <w:tcW w:type="dxa" w:w="6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Per-run diagnostics: duration, records seen/new/updated, errors — feeds source_health.</w:t>
            </w:r>
          </w:p>
        </w:tc>
      </w:tr>
    </w:tbl>
    <w:p>
      <w:pPr>
        <w:spacing w:after="200"/>
      </w:pPr>
      <w:r>
        <w:rPr>
          <w:i/>
          <w:iCs/>
          <w:color w:val="5A5A5A"/>
          <w:sz w:val="18"/>
          <w:szCs w:val="18"/>
        </w:rPr>
        <w:t xml:space="preserve">Note: on a single-Postgres deployment, tender_embeddings can instead live in Postgres via the pgvector extension; MongoDB remains valuable regardless for the variable-shape raw payloads across three very different sources.</w:t>
      </w:r>
    </w:p>
    <w:p>
      <w:pPr>
        <w:pStyle w:val="Heading1"/>
        <w:spacing w:after="160" w:before="360"/>
      </w:pPr>
      <w:r>
        <w:t xml:space="preserve">8. AI/ML Component Design</w:t>
      </w:r>
    </w:p>
    <w:p>
      <w:pPr>
        <w:pStyle w:val="Heading2"/>
        <w:spacing w:after="120" w:before="280"/>
      </w:pPr>
      <w:r>
        <w:t xml:space="preserve">8.1 Matching Model (FR-3)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Represent BracIT's profile (services, past project descriptions, certifications) and each tender's scope text as embeddings using a sentence-transformers model (e.g. a general-purpose MiniLM/BGE model), with an OpenAI/Anthropic embedding API as an optional higher-quality alternative.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Score = cosine similarity between the tender embedding and the closest-matching profile segment (best-chunk match, not a single averaged profile vector, so a strong match on one past project isn't diluted by unrelated services).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Grade thresholds (configurable): S ≥ 0.85, A ≥ 0.70, B ≥ 0.55, C &lt; 0.55 — combined with eligibility outcome (an eligible-but-low-score tender is graded on score; an ineligible tender is always capped and flagged, regardless of score).</w:t>
      </w:r>
    </w:p>
    <w:p>
      <w:pPr>
        <w:pStyle w:val="Heading2"/>
        <w:spacing w:after="120" w:before="280"/>
      </w:pPr>
      <w:r>
        <w:t xml:space="preserve">8.2 Summary Writer (FR-5)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 single prompt template takes the tender text, the matched profile segment, the similarity score, and the eligibility engine's output, and asks the LLM only to explain — in two to three sentences — why it matched and what is missing to bid.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The writer never outputs a bid/no-bid recommendation or overrides eligibility — that separation is enforced in code, not just in the prompt.</w:t>
      </w:r>
    </w:p>
    <w:p>
      <w:pPr>
        <w:pStyle w:val="Heading2"/>
        <w:spacing w:after="120" w:before="280"/>
      </w:pPr>
      <w:r>
        <w:t xml:space="preserve">8.3 Eligibility Engine (FR-4)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Implemented as fixed rules evaluated in the Spring Boot core (a small rule-evaluator, or Drools if the ruleset grows past simple comparisons), reading thresholds from the eligibility_rules table.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Each rule returns pass/fail plus a specific reason string (e.g. "Requires ISO 27001; BracIT profile shows no active certification"), never a probability.</w:t>
      </w:r>
    </w:p>
    <w:p>
      <w:pPr>
        <w:pStyle w:val="Heading2"/>
        <w:spacing w:after="120" w:before="280"/>
      </w:pPr>
      <w:r>
        <w:t xml:space="preserve">8.4 Internal AI Service Contract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600"/>
      </w:tblGrid>
      <w:tr>
        <w:trPr>
          <w:tblHeader/>
        </w:trPr>
        <w:tc>
          <w:tcPr>
            <w:tcW w:type="dxa" w:w="3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/internal/embed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Spring Boot → Python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Return an embedding vector for a text chunk.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/internal/match-score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Spring Boot → Python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Return similarity score + matched profile segment for a tender/profile pair.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/internal/summarize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Spring Boot → Python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Return the plain-language why-matched / what's-missing summary.</w:t>
            </w:r>
          </w:p>
        </w:tc>
      </w:tr>
    </w:tbl>
    <w:p>
      <w:pPr>
        <w:pStyle w:val="Heading1"/>
        <w:spacing w:after="160" w:before="360"/>
      </w:pPr>
      <w:r>
        <w:t xml:space="preserve">9. Data Ingestion Design</w:t>
      </w:r>
    </w:p>
    <w:p>
      <w:pPr>
        <w:spacing w:after="140" w:line="276"/>
      </w:pPr>
      <w:r>
        <w:t xml:space="preserve">The three sources named in the BRD differ significantly in how they can be accessed. This shapes both the ingestion architecture and the demo-day risk plan.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200"/>
        <w:gridCol w:w="1200"/>
        <w:gridCol w:w="2600"/>
      </w:tblGrid>
      <w:tr>
        <w:trPr>
          <w:tblHeader/>
        </w:trPr>
        <w:tc>
          <w:tcPr>
            <w:tcW w:type="dxa" w:w="2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Access method</w:t>
            </w:r>
          </w:p>
        </w:tc>
        <w:tc>
          <w:tcPr>
            <w:tcW w:type="dxa" w:w="1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 / risk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World Bank Procurement (projects.worldbank.org)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REST API: search.worldbank.org/api/v2/procnotices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JSON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 required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Lowest-risk source — documented, filterable (e.g. by country), returns years of history. Preferred integration path over scraping the UI page directly.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ADB Institutional Procurement Notices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HTML scrape of a static Drupal page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HTML table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API. Low volume, simple table structure. Covers ADB's own institutional purchasing (office supplies, HQ services) rather than ADB-financed project tenders — a known scope limitation flagged for the roadmap (Section 12).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Bangladesh e-GP (eprocure.gov.bd)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RSS feed for discovery; headless-browser (e.g. Playwright) for full detail, since results paginate via JSP postback rather than a plain query string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RSS / HTML (bilingual)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 for public search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Highest-effort source. For the 7-day build and live demo, the 40 pre-labelled tenders supplied on Day 1 remove any dependency on live scraping working on stage; live scraping is built as a best-effort background capability with a pre-recorded fallback, exactly as the BRD specifies.</w:t>
            </w:r>
          </w:p>
        </w:tc>
      </w:tr>
    </w:tbl>
    <w:p>
      <w:pPr>
        <w:spacing w:after="140" w:line="276"/>
      </w:pPr>
      <w:r>
        <w:t xml:space="preserve">Common ingestion pipeline (all sources): fetch → parse/normalise into the common tender schema → de-duplicate on (source, external_id) → write raw payload to MongoDB → upsert structured metadata into PostgreSQL → mark for matching.</w:t>
      </w:r>
    </w:p>
    <w:p>
      <w:pPr>
        <w:pStyle w:val="Heading1"/>
        <w:spacing w:after="160" w:before="360"/>
      </w:pPr>
      <w:r>
        <w:t xml:space="preserve">10. Success / Acceptance Criteria</w:t>
      </w:r>
    </w:p>
    <w:p>
      <w:pPr>
        <w:spacing w:after="140" w:line="276"/>
      </w:pPr>
      <w:r>
        <w:t xml:space="preserve">Mirrors BRD Section 10, restated as testable SRS acceptance criteria: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200"/>
      </w:tblGrid>
      <w:tr>
        <w:trPr>
          <w:tblHeader/>
        </w:trPr>
        <w:tc>
          <w:tcPr>
            <w:tcW w:type="dxa" w:w="2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38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verified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Matching accuracy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TenderSense's top-5 shortlist picks contain more relevant tenders than a simple keyword search, on tenders the build team has not seen.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both systems against the 12 held-out test tenders; count relevant hits in each system's top 5.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Speed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Under 60 seconds to process and score one tender, vs. ~2 hours done manually.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Timed live against the test dataset during the demo.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Live pull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real tender fetched and scored live from a source during the demo.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World Bank API preferred for the live pull, given its reliability; pre-recorded backup ready if the network or a source fails.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Demo clarity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3 demo scenarios (S/eligible, A/eligible, S/needs-verification) are each clearly explained with a reason.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Rehearsed against the fixed demo dataset before demo day.</w:t>
            </w:r>
          </w:p>
        </w:tc>
      </w:tr>
    </w:tbl>
    <w:p>
      <w:pPr>
        <w:pStyle w:val="Heading1"/>
        <w:spacing w:after="160" w:before="360"/>
      </w:pPr>
      <w:r>
        <w:t xml:space="preserve">11. Assumptions, Constraints &amp; Traceability</w:t>
      </w:r>
    </w:p>
    <w:p>
      <w:pPr>
        <w:spacing w:after="140" w:line="276"/>
      </w:pPr>
      <w:r>
        <w:t xml:space="preserve">Every functional requirement in Section 3 traces to a BRD section: FR-1 → BRD §4 (Collect); FR-2 → BRD §7 (BracIT profile); FR-3 → BRD §4/§7 (Match); FR-4 → BRD §4/§7 (Filter/eligibility); FR-5 → BRD §7 (summary writer); FR-6/FR-7 → BRD §4/§6 (Deliver); FR-8/FR-9 → BRD §5/§8 (target users, decisions).</w:t>
      </w:r>
    </w:p>
    <w:p>
      <w:r>
        <w:br w:type="page"/>
      </w:r>
    </w:p>
    <w:p>
      <w:pPr>
        <w:spacing w:after="300"/>
      </w:pPr>
      <w:r>
        <w:rPr>
          <w:b/>
          <w:bCs/>
          <w:color w:val="C0392B"/>
          <w:sz w:val="26"/>
          <w:szCs w:val="26"/>
        </w:rPr>
        <w:t xml:space="preserve">PART B — IMPLEMENTATION PLAN</w:t>
      </w:r>
    </w:p>
    <w:p>
      <w:pPr>
        <w:pStyle w:val="Heading1"/>
        <w:spacing w:after="160" w:before="360"/>
      </w:pPr>
      <w:r>
        <w:t xml:space="preserve">1. Technology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000"/>
      </w:tblGrid>
      <w:tr>
        <w:trPr>
          <w:tblHeader/>
        </w:trPr>
        <w:tc>
          <w:tcPr>
            <w:tcW w:type="dxa" w:w="20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0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Angular 17+, Angular Material, RxJS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SPA served via Nginx (or a static host); consumes the Spring Boot REST API only.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Core backend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Spring Boot 3 (Java 21), Spring Security (JWT), Spring Data JPA, Spring Data MongoDB, Maven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Owns auth, eligibility rules, orchestration, and the public API.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 / ingestion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3.11, FastAPI, sentence-transformers / HF Transformers, requests, BeautifulSoup4, Playwright, APScheduler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Internal microservice + scheduled ingestion workers.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Relational DB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 15+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Structured, transactional data (Section 7.1).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 DB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MongoDB 6+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Raw payloads, full text, embedding cache (Section 7.2).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 (build week)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Postgres, Mongo, Spring Boot, Python service, Angular dev server as one stack.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 (beyond hackathon)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Container platform (Kubernetes or a managed PaaS) + GitHub Actions CI/CD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Build/test both apps, publish images, deploy.</w:t>
            </w:r>
          </w:p>
        </w:tc>
      </w:tr>
    </w:tbl>
    <w:p>
      <w:pPr>
        <w:pStyle w:val="Heading1"/>
        <w:spacing w:after="160" w:before="360"/>
      </w:pPr>
      <w:r>
        <w:t xml:space="preserve">2. Repository &amp; Module Structure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tendersense/
├── frontend/                  (Angular app)
│   └── src/app/{dashboard,tender-detail,profile,admin,auth}
├── backend/                   (Spring Boot)
│   └── src/main/java/.../{api,eligibility,profile,decision,security,integration}
├── ai-service/                 (Python FastAPI: embed / match-score / summarize)
├── ingestion/                  (Python workers)
│   └── sources/{worldbank_api,adb_scraper,egp_rss_and_scraper}
├── infra/                      (docker-compose.yml, .env.example, k8s manifests)
└── docs/                       (this SRS, API contracts, ADRs)</w:t>
      </w:r>
    </w:p>
    <w:p>
      <w:pPr>
        <w:pStyle w:val="Heading1"/>
        <w:spacing w:after="160" w:before="360"/>
      </w:pPr>
      <w:r>
        <w:t xml:space="preserve">3. API Contract (sample)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400"/>
      </w:tblGrid>
      <w:tr>
        <w:trPr>
          <w:tblHeader/>
        </w:trPr>
        <w:tc>
          <w:tcPr>
            <w:tcW w:type="dxa" w:w="3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/api/tenders?grade=&amp;status=&amp;deadlineBefore=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List/filter the current shortlist.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/api/tenders/{id}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detail: notice, match reason, eligibility checklist, deadline.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/api/tenders/{id}/decision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 a bid / hold / skip decision.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/api/profile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 PUT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Read or update BracIT's capability profile.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/api/eligibility-rules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 POST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 or update eligibility rule thresholds (Admin only).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/api/admin/source-health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Last run status per ingestion source.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/internal/match-score, /internal/summarize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Spring Boot → Python microservice only (Section 8.4).</w:t>
            </w:r>
          </w:p>
        </w:tc>
      </w:tr>
    </w:tbl>
    <w:p>
      <w:pPr>
        <w:pStyle w:val="Heading1"/>
        <w:spacing w:after="160" w:before="360"/>
      </w:pPr>
      <w:r>
        <w:t xml:space="preserve">4. Seven-Day Build Plan</w:t>
      </w:r>
    </w:p>
    <w:p>
      <w:pPr>
        <w:spacing w:after="140" w:line="276"/>
      </w:pPr>
      <w:r>
        <w:t xml:space="preserve">Aligned to the BRD's “what gets built in 7 days” and the 3 live demo scenarios.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700"/>
      </w:tblGrid>
      <w:tr>
        <w:trPr>
          <w:tblHeader/>
        </w:trPr>
        <w:tc>
          <w:tcPr>
            <w:tcW w:type="dxa" w:w="9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7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deliverable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Setup &amp; data</w:t>
            </w:r>
          </w:p>
        </w:tc>
        <w:tc>
          <w:tcPr>
            <w:tcW w:type="dxa" w:w="5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Repos, Docker Compose stack, Postgres/Mongo schemas; load BracIT profile and the 40 labelled tenders.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 ingestion</w:t>
            </w:r>
          </w:p>
        </w:tc>
        <w:tc>
          <w:tcPr>
            <w:tcW w:type="dxa" w:w="5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World Bank API client (live); ADB scraper; common normaliser writing Mongo → Postgres.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Eligibility + e-GP</w:t>
            </w:r>
          </w:p>
        </w:tc>
        <w:tc>
          <w:tcPr>
            <w:tcW w:type="dxa" w:w="5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Eligibility rules engine in Spring Boot with configurable thresholds; e-GP RSS ingestion + best-effort scraper.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Matching engine</w:t>
            </w:r>
          </w:p>
        </w:tc>
        <w:tc>
          <w:tcPr>
            <w:tcW w:type="dxa" w:w="5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FastAPI service: embeddings + cosine similarity; wired to Spring Boot via /internal/match-score.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Grading + summaries</w:t>
            </w:r>
          </w:p>
        </w:tc>
        <w:tc>
          <w:tcPr>
            <w:tcW w:type="dxa" w:w="5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S/A/B/C grading logic; LLM summary writer; shortlist assembly API.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Angular dashboard</w:t>
            </w:r>
          </w:p>
        </w:tc>
        <w:tc>
          <w:tcPr>
            <w:tcW w:type="dxa" w:w="5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Login/auth, shortlist view, tender detail, bid/hold/skip action, profile &amp; admin screens.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 &amp; rehearse</w:t>
            </w:r>
          </w:p>
        </w:tc>
        <w:tc>
          <w:tcPr>
            <w:tcW w:type="dxa" w:w="5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Accuracy test vs. keyword baseline on 12 held-out tenders; timing test; live-pull + fallback rehearsal; demo dry run.</w:t>
            </w:r>
          </w:p>
        </w:tc>
      </w:tr>
    </w:tbl>
    <w:p>
      <w:pPr>
        <w:pStyle w:val="Heading1"/>
        <w:spacing w:after="160" w:before="360"/>
      </w:pPr>
      <w:r>
        <w:t xml:space="preserve">5. Suggested Team Roles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Backend / Spring Boot developer — API, eligibility engine, auth, persistence.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Frontend / Angular developer — dashboard, tender detail, profile &amp; admin UI.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AI / Python developer — embeddings, matching service, summary writer.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Data / ingestion developer — World Bank/ADB/e-GP connectors, normalisation, source health.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Project owner / demo lead (Aisha Tanjina) — BracIT profile &amp; test dataset, acceptance testing, demo rehearsal.</w:t>
      </w:r>
    </w:p>
    <w:p>
      <w:pPr>
        <w:pStyle w:val="Heading1"/>
        <w:spacing w:after="160" w:before="360"/>
      </w:pPr>
      <w:r>
        <w:t xml:space="preserve">6. Testing &amp; Validation Plan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Unit tests: JUnit for the eligibility engine (every rule branch, since it must be 100% deterministic); pytest for the Python matching/summary service.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Integration test: seed the 40 labelled tenders, run the full pipeline end-to-end, confirm grades match expectations for a spot-checked subset.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Accuracy test: hold out 12 tenders the build team has not seen; compare TenderSense's top-5 vs. a simple keyword-search baseline (BRD Section 10 methodology).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Performance test: time single-tender processing; must stay under 60 seconds.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Demo rehearsal: run the 3 fixed demo scenarios (S/eligible, A/eligible, S/needs-verification) plus one live pull, with the pre-recorded backup ready and its use disclosed on stage if triggered.</w:t>
      </w:r>
    </w:p>
    <w:p>
      <w:pPr>
        <w:pStyle w:val="Heading1"/>
        <w:spacing w:after="160" w:before="360"/>
      </w:pPr>
      <w:r>
        <w:t xml:space="preserve">7. Deployment &amp; Environments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Local/dev: docker-compose brings up Postgres, Mongo, the Spring Boot API, the Python AI service, and the Angular dev server together.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Demo/staging: single cloud VM (or a PaaS such as Render/Railway), Nginx reverse proxy with HTTPS, secrets (DB credentials, LLM API key) injected via environment variables/secret manager.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CI/CD: GitHub Actions runs backend (Maven) and frontend (Angular) builds/tests on every push, then builds Docker images for the two demo-day services.</w:t>
      </w:r>
    </w:p>
    <w:p>
      <w:pPr>
        <w:pStyle w:val="Heading1"/>
        <w:spacing w:after="160" w:before="360"/>
      </w:pPr>
      <w:r>
        <w:t xml:space="preserve">8. Risk Register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e-GP scraping breaks or is blocked (JS-heavy, paginated, bilingual)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Live e-GP pull fails during demo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 RSS feed for lightweight discovery; rely on the 40 pre-labelled tenders for the guaranteed demo path; pre-recorded backup, disclosed on stage if used (per BRD).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ADB source only covers institutional (non-project) procurement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Fewer relevant ADB matches than BracIT would want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Documented scope limitation; roadmap item to add ADB's project-tenders feed (adb.org/projects/tenders).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LLM API cost/rate limits or an outage on demo day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Summaries fail to generate live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Cache summaries once generated; use a low-cost model (e.g. Haiku/mini); open-source sentence-transformers fallback for the matching score itself, which does not depend on the LLM.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Portal HTML structure changes without notice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Silent ingestion failures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Per-source health checks and alerting (source_health table); scrapers fail soft, without blocking other sources.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7-day timeline overrun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Incomplete feature set for demo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Strict MoSCoW prioritisation (Section 3); cut optional UI polish (e.g. NgRx state management) before cutting core matching/eligibility/shortlist flow.</w:t>
            </w:r>
          </w:p>
        </w:tc>
      </w:tr>
    </w:tbl>
    <w:p>
      <w:pPr>
        <w:pStyle w:val="Heading1"/>
        <w:spacing w:after="160" w:before="360"/>
      </w:pPr>
      <w:r>
        <w:t xml:space="preserve">9. Future Roadmap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Additional sources: UNGM, ADB's project-tenders feed, other MDBs/NGO feeds.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Bangla-language NLP support for e-GP notices (many are Bangla-only).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Automated bid/no-go decision logging with structured reasoning, beyond today's simple decision log.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Notification-channel expansion (e.g. Slack/Teams push, not just email/dashboard).</w:t>
      </w:r>
    </w:p>
    <w:p>
      <w:pPr>
        <w:pBdr>
          <w:bottom w:val="single" w:color="AAAAAA" w:sz="6" w:space="1"/>
        </w:pBdr>
        <w:spacing w:after="120" w:before="120"/>
      </w:pPr>
    </w:p>
    <w:p>
      <w:pPr>
        <w:spacing w:after="140" w:line="276"/>
      </w:pPr>
      <w:r>
        <w:rPr>
          <w:i/>
          <w:iCs/>
          <w:color w:val="5A5A5A"/>
          <w:sz w:val="18"/>
          <w:szCs w:val="18"/>
        </w:rPr>
        <w:t xml:space="preserve">End of document.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A5A5A"/>
        <w:sz w:val="16"/>
        <w:szCs w:val="16"/>
      </w:rPr>
      <w:t xml:space="preserve">TenderSense — SRS &amp;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2A4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C03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2026-09-09T04:49:47.480Z</dcterms:created>
  <dcterms:modified xsi:type="dcterms:W3CDTF">2026-09-09T04:49:47.494Z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