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center"/>
        <w:rPr/>
      </w:pPr>
      <w:r>
        <w:t xml:space="preserve">ST5014CEM - Data Science for Developers</w:t>
      </w:r>
      <w:r/>
    </w:p>
    <w:p>
      <w:pPr>
        <w:pBdr/>
        <w:spacing/>
        <w:ind/>
        <w:jc w:val="center"/>
        <w:rPr/>
      </w:pPr>
      <w:r>
        <w:rPr>
          <w:b/>
        </w:rPr>
        <w:t xml:space="preserve">Comparative Analysis: Cheshire vs Cumberland</w:t>
      </w:r>
      <w:r/>
    </w:p>
    <w:p>
      <w:pPr>
        <w:pBdr/>
        <w:spacing/>
        <w:ind/>
        <w:jc w:val="center"/>
        <w:rPr/>
      </w:pPr>
      <w:r>
        <w:t xml:space="preserve">House Prices, Broadband &amp; Crime Analysis</w:t>
      </w:r>
      <w:r/>
    </w:p>
    <w:p>
      <w:pPr>
        <w:pBdr/>
        <w:spacing/>
        <w:ind/>
        <w:rPr/>
      </w:pPr>
      <w:r>
        <w:br w:type="page" w:clear="all"/>
      </w:r>
      <w:r/>
    </w:p>
    <w:p>
      <w:pPr>
        <w:pStyle w:val="693"/>
        <w:pBdr/>
        <w:spacing/>
        <w:ind/>
        <w:rPr/>
      </w:pPr>
      <w:r>
        <w:t xml:space="preserve">Contents</w:t>
      </w:r>
      <w:r/>
    </w:p>
    <w:p>
      <w:pPr>
        <w:pBdr/>
        <w:spacing/>
        <w:ind/>
        <w:rPr/>
      </w:pPr>
      <w:r>
        <w:t xml:space="preserve">Introduction...........................................2</w:t>
      </w:r>
      <w:r/>
    </w:p>
    <w:p>
      <w:pPr>
        <w:pBdr/>
        <w:spacing/>
        <w:ind/>
        <w:rPr/>
      </w:pPr>
      <w:r>
        <w:t xml:space="preserve">Cleaning Data..........................................3</w:t>
      </w:r>
      <w:r/>
    </w:p>
    <w:p>
      <w:pPr>
        <w:pBdr/>
        <w:spacing/>
        <w:ind/>
        <w:rPr/>
      </w:pPr>
      <w:r>
        <w:t xml:space="preserve">    House Sales........................................3</w:t>
      </w:r>
      <w:r/>
    </w:p>
    <w:p>
      <w:pPr>
        <w:pBdr/>
        <w:spacing/>
        <w:ind/>
        <w:rPr/>
      </w:pPr>
      <w:r>
        <w:t xml:space="preserve">    Towns and Postcodes................................4</w:t>
      </w:r>
      <w:r/>
    </w:p>
    <w:p>
      <w:pPr>
        <w:pBdr/>
        <w:spacing/>
        <w:ind/>
        <w:rPr/>
      </w:pPr>
      <w:r>
        <w:t xml:space="preserve">    Broadband Speeds...................................5</w:t>
      </w:r>
      <w:r/>
    </w:p>
    <w:p>
      <w:pPr>
        <w:pBdr/>
        <w:spacing/>
        <w:ind/>
        <w:rPr/>
      </w:pPr>
      <w:r>
        <w:t xml:space="preserve">    Crime..............................................6</w:t>
      </w:r>
      <w:r/>
    </w:p>
    <w:p>
      <w:pPr>
        <w:pBdr/>
        <w:spacing/>
        <w:ind/>
        <w:rPr/>
      </w:pPr>
      <w:r>
        <w:t xml:space="preserve">Exploratory Data Analysis..............................7</w:t>
      </w:r>
      <w:r/>
    </w:p>
    <w:p>
      <w:pPr>
        <w:pBdr/>
        <w:spacing/>
        <w:ind/>
        <w:rPr/>
      </w:pPr>
      <w:r>
        <w:t xml:space="preserve">    House Prices.......................................7</w:t>
      </w:r>
      <w:r/>
    </w:p>
    <w:p>
      <w:pPr>
        <w:pBdr/>
        <w:spacing/>
        <w:ind/>
        <w:rPr/>
      </w:pPr>
      <w:r>
        <w:t xml:space="preserve">    Broadband Speed....................................9</w:t>
      </w:r>
      <w:r/>
    </w:p>
    <w:p>
      <w:pPr>
        <w:pBdr/>
        <w:spacing/>
        <w:ind/>
        <w:rPr/>
      </w:pPr>
      <w:r>
        <w:t xml:space="preserve">    Crime Rate.........................................11</w:t>
      </w:r>
      <w:r/>
    </w:p>
    <w:p>
      <w:pPr>
        <w:pBdr/>
        <w:spacing/>
        <w:ind/>
        <w:rPr/>
      </w:pPr>
      <w:r>
        <w:t xml:space="preserve">Linear Modelling.......................................13</w:t>
      </w:r>
      <w:r/>
    </w:p>
    <w:p>
      <w:pPr>
        <w:pBdr/>
        <w:spacing/>
        <w:ind/>
        <w:rPr/>
      </w:pPr>
      <w:r>
        <w:t xml:space="preserve">Recommendation System..................................16</w:t>
      </w:r>
      <w:r/>
    </w:p>
    <w:p>
      <w:pPr>
        <w:pBdr/>
        <w:spacing/>
        <w:ind/>
        <w:rPr/>
      </w:pPr>
      <w:r>
        <w:t xml:space="preserve">    Overview...........................................16</w:t>
      </w:r>
      <w:r/>
    </w:p>
    <w:p>
      <w:pPr>
        <w:pBdr/>
        <w:spacing/>
        <w:ind/>
        <w:rPr/>
      </w:pPr>
      <w:r>
        <w:t xml:space="preserve">    Results............................................16</w:t>
      </w:r>
      <w:r/>
    </w:p>
    <w:p>
      <w:pPr>
        <w:pBdr/>
        <w:spacing/>
        <w:ind/>
        <w:rPr/>
      </w:pPr>
      <w:r>
        <w:t xml:space="preserve">    Reflection.........................................17</w:t>
      </w:r>
      <w:r/>
    </w:p>
    <w:p>
      <w:pPr>
        <w:pBdr/>
        <w:spacing/>
        <w:ind/>
        <w:rPr/>
      </w:pPr>
      <w:r>
        <w:t xml:space="preserve">    Broadband Speeds...................................17</w:t>
      </w:r>
      <w:r/>
    </w:p>
    <w:p>
      <w:pPr>
        <w:pBdr/>
        <w:spacing/>
        <w:ind/>
        <w:rPr/>
      </w:pPr>
      <w:r>
        <w:t xml:space="preserve">    House Prices.......................................17</w:t>
      </w:r>
      <w:r/>
    </w:p>
    <w:p>
      <w:pPr>
        <w:pBdr/>
        <w:spacing/>
        <w:ind/>
        <w:rPr/>
      </w:pPr>
      <w:r>
        <w:t xml:space="preserve">    Crimes.............................................18</w:t>
      </w:r>
      <w:r/>
    </w:p>
    <w:p>
      <w:pPr>
        <w:pBdr/>
        <w:spacing/>
        <w:ind/>
        <w:rPr/>
      </w:pPr>
      <w:r>
        <w:t xml:space="preserve">    Overall Score......................................18</w:t>
      </w:r>
      <w:r/>
    </w:p>
    <w:p>
      <w:pPr>
        <w:pBdr/>
        <w:spacing/>
        <w:ind/>
        <w:rPr/>
      </w:pPr>
      <w:r>
        <w:t xml:space="preserve">Legal and Ethical Issues...............................19</w:t>
      </w:r>
      <w:r/>
    </w:p>
    <w:p>
      <w:pPr>
        <w:pBdr/>
        <w:spacing/>
        <w:ind/>
        <w:rPr/>
      </w:pPr>
      <w:r>
        <w:t xml:space="preserve">Conclusion.............................................20</w:t>
      </w:r>
      <w:r/>
    </w:p>
    <w:p>
      <w:pPr>
        <w:pBdr/>
        <w:spacing/>
        <w:ind/>
        <w:rPr/>
      </w:pPr>
      <w:r>
        <w:t xml:space="preserve">References.............................................21</w:t>
      </w:r>
      <w:r/>
    </w:p>
    <w:p>
      <w:pPr>
        <w:pBdr/>
        <w:spacing/>
        <w:ind/>
        <w:rPr/>
      </w:pPr>
      <w:r>
        <w:br w:type="page" w:clear="all"/>
      </w:r>
      <w:r/>
    </w:p>
    <w:p>
      <w:pPr>
        <w:pStyle w:val="693"/>
        <w:pBdr/>
        <w:spacing/>
        <w:ind/>
        <w:rPr/>
      </w:pPr>
      <w:r>
        <w:t xml:space="preserve">Introduction</w:t>
      </w:r>
      <w:r/>
    </w:p>
    <w:p>
      <w:pPr>
        <w:pBdr/>
        <w:spacing/>
        <w:ind/>
        <w:rPr/>
      </w:pPr>
      <w:r>
        <w:t xml:space="preserve">This report presents a comprehensive data science analysis comparing Cheshire and Cumberland counties to assist international clients in</w:t>
      </w:r>
      <w:r>
        <w:t xml:space="preserve"> making an informed property investment decision. Following the data mining lifecycle as outlined by Chapman et al. (2000), the analysis examines three key characteristics essential for the client's requirements: house prices for affordability assessment, </w:t>
      </w:r>
      <w:r>
        <w:t xml:space="preserve">broadband speed for remote work connectivity, and crime rates for neighbourhood safety evaluation.</w:t>
        <w:br/>
        <w:br/>
        <w:t xml:space="preserve">Cheshire, located in the North West of England, is characterised by affluent suburban areas and excellent transport links to Manchester and Liverpool. The r</w:t>
      </w:r>
      <w:r>
        <w:t xml:space="preserve">egion contains diverse communities ranging from the historic city of Chester to market towns like Macclesfield and Crewe (Office for National Statistics, 2024). Cumberland, the newly formed unitary authority encompassing the former districts of Allerdale, </w:t>
      </w:r>
      <w:r>
        <w:t xml:space="preserve">Carlisle, and Copeland in the Lake District region, offers dramatic rural landscapes, lower population density, and a distinctly different character with strong community ties.</w:t>
        <w:br/>
        <w:br/>
        <w:t xml:space="preserve">The methodology employed follows established data science practices. All datas</w:t>
      </w:r>
      <w:r>
        <w:t xml:space="preserve">ets are sourced exclusively from UK government open data portals including HM Land Registry for property transactions (HM Land Registry, 2024), Ofcom for broadband infrastructure metrics (Ofcom, 2024), and UK Police for crime statistics (Police UK, 2024). </w:t>
      </w:r>
      <w:r>
        <w:t xml:space="preserve">The analysis period spans 2022 to 2024.</w:t>
        <w:br/>
        <w:br/>
        <w:t xml:space="preserve">The technical implementation utilises R programming language with tidyverse packages for data manipulation (Wickham et al., 2019), ggplot2 for visualisation, and statistical functions for hypothesis testing. Statist</w:t>
      </w:r>
      <w:r>
        <w:t xml:space="preserve">ical methods include Pearson correlation coefficient analysis, independent samples t-tests, and linear regression modelling. The culmination is a recommendation system that scores each town on a 0-10 scale and identifies the top three towns for investment.</w:t>
      </w:r>
      <w:r/>
    </w:p>
    <w:p>
      <w:pPr>
        <w:pStyle w:val="694"/>
        <w:pBdr/>
        <w:spacing/>
        <w:ind/>
        <w:rPr/>
      </w:pPr>
      <w:r>
        <w:t xml:space="preserve">Data Identification and Justification</w:t>
      </w:r>
      <w:r/>
    </w:p>
    <w:p>
      <w:pPr>
        <w:pBdr/>
        <w:spacing/>
        <w:ind/>
        <w:rPr/>
      </w:pPr>
      <w:r>
        <w:t xml:space="preserve">Three datasets were carefully selected to address the scenario requi</w:t>
      </w:r>
      <w:r>
        <w:t xml:space="preserve">rements, with explicit justification for each choice:</w:t>
        <w:br/>
        <w:br/>
        <w:t xml:space="preserve">House Price Data from HM Land Registry (2024): This dataset is essential for assessing affordability, which the scenario identifies as the client's top priority. The Price Paid Data contains complete r</w:t>
      </w:r>
      <w:r>
        <w:t xml:space="preserve">ecords of all residential property sales in England and Wales, including transaction price, date, property type, and full address including postcode. According to HM Land Registry (2024), this data derives from actual sale completions registered with the L</w:t>
      </w:r>
      <w:r>
        <w:t xml:space="preserve">and Registry.</w:t>
        <w:br/>
        <w:br/>
        <w:t xml:space="preserve">Broadband Speed Data from Ofcom (2024): The Connected Nations report provides postcode-level broadband performance statistics essential for connectivity assessment. As noted by Ofcom (2024), this dataset includes average and maximum download</w:t>
      </w:r>
      <w:r>
        <w:t xml:space="preserve"> speeds at postcode level, enabling identification of areas with superior digital infrastructure.</w:t>
        <w:br/>
        <w:br/>
        <w:t xml:space="preserve">Crime Data from UK Police Service (2024): Street-level crime data is necessary for safety evaluation. According to Police UK (2024), the data includes crime </w:t>
      </w:r>
      <w:r>
        <w:t xml:space="preserve">type categorisation enabling focused analysis on drug offences, vehicle crime, and robbery incidents.</w:t>
        <w:br/>
        <w:br/>
        <w:t xml:space="preserve">All data sources comply with the Open Government Licence v3.0 (National Archives, 2024), ensuring reliability and legal compliance for research purposes.</w:t>
      </w:r>
      <w:r/>
    </w:p>
    <w:p>
      <w:pPr>
        <w:pBdr/>
        <w:spacing/>
        <w:ind/>
        <w:rPr/>
      </w:pPr>
      <w:r>
        <w:br w:type="page" w:clear="all"/>
      </w:r>
      <w:r/>
    </w:p>
    <w:p>
      <w:pPr>
        <w:pStyle w:val="693"/>
        <w:pBdr/>
        <w:spacing/>
        <w:ind/>
        <w:rPr/>
      </w:pPr>
      <w:r>
        <w:t xml:space="preserve">Cleaning Data</w:t>
      </w:r>
      <w:r/>
    </w:p>
    <w:p>
      <w:pPr>
        <w:pBdr/>
        <w:spacing/>
        <w:ind/>
        <w:rPr/>
      </w:pPr>
      <w:r>
        <w:t xml:space="preserve">Data cleaning is a c</w:t>
      </w:r>
      <w:r>
        <w:t xml:space="preserve">ritical phase ensuring quality and consistency across all datasets. As emphasised by Wickham (2014), tidy data principles require each variable to form a column and each observation to form a row. All processing was conducted in R using tidyverse packages.</w:t>
      </w:r>
      <w:r/>
    </w:p>
    <w:p>
      <w:pPr>
        <w:pStyle w:val="694"/>
        <w:pBdr/>
        <w:spacing/>
        <w:ind/>
        <w:rPr/>
      </w:pPr>
      <w:r>
        <w:t xml:space="preserve">Data Model and Normalization</w:t>
      </w:r>
      <w:r/>
    </w:p>
    <w:p>
      <w:pPr>
        <w:pBdr/>
        <w:spacing/>
        <w:ind/>
        <w:rPr/>
      </w:pPr>
      <w:r>
        <w:t xml:space="preserve">The integrated data model follows Third Normal Form (3NF) principles to eliminate redundancy and ensure data integrity (Codd</w:t>
      </w:r>
      <w:r>
        <w:t xml:space="preserve">, 1970). The entity-relationship structure comprises five main tables:</w:t>
        <w:br/>
        <w:br/>
        <w:t xml:space="preserve">COUNTY table stores county_id (primary key) and county_name. TOWN table contains town_id (PK), town_name, and county_id (foreign key). POSTCODE table holds postcode_id (PK), postcode s</w:t>
      </w:r>
      <w:r>
        <w:t xml:space="preserve">tring, and town_id (FK), serving as the common geographic identifier.</w:t>
        <w:br/>
        <w:br/>
        <w:t xml:space="preserve">HOUSE_PRICE table stores transaction_id (PK), postcode_id (FK), price, transaction_date, and property_type. BROADBAND table contains broadband_id (PK), postcode_id (FK), avg_download_sp</w:t>
      </w:r>
      <w:r>
        <w:t xml:space="preserve">eed, and max_download_speed. CRIME table holds crime_id (PK), postcode_id (FK), crime_type, month, and year.</w:t>
        <w:br/>
        <w:br/>
        <w:t xml:space="preserve">3NF compliance is achieved as each table contains only attributes fully functionally dependent on the primary key with no transitive dependencies.</w:t>
      </w:r>
      <w:r/>
    </w:p>
    <w:p>
      <w:pPr>
        <w:pStyle w:val="694"/>
        <w:pBdr/>
        <w:spacing/>
        <w:ind/>
        <w:rPr/>
      </w:pPr>
      <w:r>
        <w:t xml:space="preserve">House Sales</w:t>
      </w:r>
      <w:r/>
    </w:p>
    <w:p>
      <w:pPr>
        <w:pBdr/>
        <w:spacing/>
        <w:ind/>
        <w:rPr/>
      </w:pPr>
      <w:r>
        <w:t xml:space="preserve">Land Registry Price Paid data for 2022, 2023, and 2024 was loaded and combined. The cleaning process involved: defining column names as the raw data lacks headers; geographic filtering for Cheshire East, Cheshire West a</w:t>
      </w:r>
      <w:r>
        <w:t xml:space="preserve">nd Chester, Cumberland, Allerdale, Carlisle, and Copeland; validation removing null prices and values ≤0; text standardisation; and year extraction. The final cleaned dataset contains 64,118 valid transactions (43,613 in Cheshire and 20,505 in Cumberland).</w:t>
      </w:r>
      <w:r/>
    </w:p>
    <w:p>
      <w:pPr>
        <w:pStyle w:val="694"/>
        <w:pBdr/>
        <w:spacing/>
        <w:ind/>
        <w:rPr/>
      </w:pPr>
      <w:r>
        <w:t xml:space="preserve">Towns and Postcodes</w:t>
      </w:r>
      <w:r/>
    </w:p>
    <w:p>
      <w:pPr>
        <w:pBdr/>
        <w:spacing/>
        <w:ind/>
        <w:rPr/>
      </w:pPr>
      <w:r>
        <w:t xml:space="preserve">The ONS Postcode Directory (Office for National S</w:t>
      </w:r>
      <w:r>
        <w:t xml:space="preserve">tatistics, 2024) provided geographic reference data linking postcodes to administrative areas. Processing steps included: selecting postcode and local authority columns; normalising postcodes by removing spaces; mapping local authorities to study counties.</w:t>
      </w:r>
      <w:r/>
    </w:p>
    <w:p>
      <w:pPr>
        <w:pStyle w:val="694"/>
        <w:pBdr/>
        <w:spacing/>
        <w:ind/>
        <w:rPr/>
      </w:pPr>
      <w:r>
        <w:t xml:space="preserve">Broadband Speeds</w:t>
      </w:r>
      <w:r/>
    </w:p>
    <w:p>
      <w:pPr>
        <w:pBdr/>
        <w:spacing/>
        <w:ind/>
        <w:rPr/>
      </w:pPr>
      <w:r>
        <w:t xml:space="preserve">Ofcom Connected Nations broadband performance data was cleaned through: </w:t>
      </w:r>
      <w:r>
        <w:t xml:space="preserve">renaming columns to descriptive names; selecting required fields; filtering to study area postcodes; assigning county values; removing null speed values. The final dataset contains 17,995 postcode-level records (11,403 in Cheshire and 6,592 in Cumberland).</w:t>
      </w:r>
      <w:r/>
    </w:p>
    <w:p>
      <w:pPr>
        <w:pStyle w:val="694"/>
        <w:pBdr/>
        <w:spacing/>
        <w:ind/>
        <w:rPr/>
      </w:pPr>
      <w:r>
        <w:t xml:space="preserve">Crime</w:t>
      </w:r>
      <w:r/>
    </w:p>
    <w:p>
      <w:pPr>
        <w:pBdr/>
        <w:spacing/>
        <w:ind/>
        <w:rPr/>
      </w:pPr>
      <w:r>
        <w:t xml:space="preserve">UK Police street-level crime data from December 2022 to November 2024 for Cheshire and Cumbria Constabularies was processed by: agg</w:t>
      </w:r>
      <w:r>
        <w:t xml:space="preserve">regating monthly CSV files; assigning county based on source file; standardising column names; filtering for relevant crime types (Drugs, Vehicle crime, Robbery). The final dataset contains 26,459 crime records (18,178 in Cheshire and 8,281 in Cumberland).</w:t>
      </w:r>
      <w:r/>
    </w:p>
    <w:p>
      <w:pPr>
        <w:pBdr/>
        <w:spacing/>
        <w:ind/>
        <w:rPr/>
      </w:pPr>
      <w:r>
        <w:br w:type="page" w:clear="all"/>
      </w:r>
      <w:r/>
    </w:p>
    <w:p>
      <w:pPr>
        <w:pStyle w:val="693"/>
        <w:pBdr/>
        <w:spacing/>
        <w:ind/>
        <w:rPr/>
      </w:pPr>
      <w:r>
        <w:t xml:space="preserve">Exploratory Data Analysis</w:t>
      </w:r>
      <w:r/>
    </w:p>
    <w:p>
      <w:pPr>
        <w:pBdr/>
        <w:spacing/>
        <w:ind/>
        <w:rPr/>
      </w:pPr>
      <w:r>
        <w:t xml:space="preserve">Exploratory Data Analysis re</w:t>
      </w:r>
      <w:r>
        <w:t xml:space="preserve">veals data characteristics through visualisation and summary statistics, identifying patterns and differences between Cheshire and Cumberland (Tukey, 1977). Each visualisation is presented below with detailed interpretation based on actual project results.</w:t>
      </w:r>
      <w:r/>
    </w:p>
    <w:p>
      <w:pPr>
        <w:pStyle w:val="694"/>
        <w:pBdr/>
        <w:spacing/>
        <w:ind/>
        <w:rPr/>
      </w:pPr>
      <w:r>
        <w:t xml:space="preserve">House Prices</w:t>
      </w:r>
      <w:r/>
    </w:p>
    <w:p>
      <w:pPr>
        <w:pBdr/>
        <w:spacing/>
        <w:ind/>
        <w:jc w:val="center"/>
        <w:rPr/>
      </w:pPr>
      <w:r>
        <mc:AlternateContent>
          <mc:Choice Requires="wpg">
            <w:drawing>
              <wp:inline xmlns:wp="http://schemas.openxmlformats.org/drawingml/2006/wordprocessingDrawing" distT="0" distB="0" distL="0" distR="0">
                <wp:extent cx="43891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rice_boxplot_2023.png"/>
                        <pic:cNvPicPr>
                          <a:picLocks noChangeAspect="1"/>
                        </pic:cNvPicPr>
                        <pic:nvPr/>
                      </pic:nvPicPr>
                      <pic:blipFill rotWithShape="1">
                        <a:blip r:embed="rId10"/>
                        <a:stretch/>
                      </pic:blipFill>
                      <pic:spPr bwMode="auto">
                        <a:xfrm>
                          <a:off x="0" y="0"/>
                          <a:ext cx="4389120" cy="329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5.60pt;height:259.20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b/>
          <w:sz w:val="20"/>
        </w:rPr>
        <w:t xml:space="preserve">Figure 1: House Price Distribution Comparison (2023)</w:t>
      </w:r>
      <w:r/>
    </w:p>
    <w:p>
      <w:pPr>
        <w:pBdr/>
        <w:spacing w:after="240"/>
        <w:ind/>
        <w:rPr/>
      </w:pPr>
      <w:r>
        <w:t xml:space="preserve">This boxplot compares house price distributions between Cheshire and Cumberland. Based on 64,118 transactions analysed, Cheshire demonstrates a median price of £260,000 compared to Cumberland's £172,900, representing a 49.1% premi</w:t>
      </w:r>
      <w:r>
        <w:t xml:space="preserve">um. The mean prices are £346,936 for Cheshire and £232,642 for Cumberland, with a difference of £114,294. Cheshire's wider interquartile range reflects diverse property types from modest terraced houses to substantial detached properties in affluent areas.</w:t>
      </w:r>
      <w:r/>
    </w:p>
    <w:p>
      <w:pPr>
        <w:pBdr/>
        <w:spacing/>
        <w:ind/>
        <w:jc w:val="center"/>
        <w:rPr/>
      </w:pPr>
      <w:r>
        <mc:AlternateContent>
          <mc:Choice Requires="wpg">
            <w:drawing>
              <wp:inline xmlns:wp="http://schemas.openxmlformats.org/drawingml/2006/wordprocessingDrawing" distT="0" distB="0" distL="0" distR="0">
                <wp:extent cx="438912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rice_bar_2022.png"/>
                        <pic:cNvPicPr>
                          <a:picLocks noChangeAspect="1"/>
                        </pic:cNvPicPr>
                        <pic:nvPr/>
                      </pic:nvPicPr>
                      <pic:blipFill rotWithShape="1">
                        <a:blip r:embed="rId11"/>
                        <a:stretch/>
                      </pic:blipFill>
                      <pic:spPr bwMode="auto">
                        <a:xfrm>
                          <a:off x="0" y="0"/>
                          <a:ext cx="4389120" cy="329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5.60pt;height:259.20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b/>
          <w:sz w:val="20"/>
        </w:rPr>
        <w:t xml:space="preserve">Figure 2: Average House Price by County (2022)</w:t>
      </w:r>
      <w:r/>
    </w:p>
    <w:p>
      <w:pPr>
        <w:pBdr/>
        <w:spacing w:after="240"/>
        <w:ind/>
        <w:rPr/>
      </w:pPr>
      <w:r>
        <w:t xml:space="preserve">This bar chart illustrates the 20</w:t>
      </w:r>
      <w:r>
        <w:t xml:space="preserve">22 average house prices. Cheshire recorded an average of £341,416 (n=16,361 transactions) compared to Cumberland's £252,944 (n=9,768 transactions). This £88,472 difference highlights the affordability advantage that Cumberland offers to prospective buyers.</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rice_trend_2022_2024.png"/>
                        <pic:cNvPicPr>
                          <a:picLocks noChangeAspect="1"/>
                        </pic:cNvPicPr>
                        <pic:nvPr/>
                      </pic:nvPicPr>
                      <pic:blipFill rotWithShape="1">
                        <a:blip r:embed="rId12"/>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5.60pt;height:207.36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b/>
          <w:sz w:val="20"/>
        </w:rPr>
        <w:t xml:space="preserve">Figure 3: House Price Trends (2022-2024)</w:t>
      </w:r>
      <w:r/>
    </w:p>
    <w:p>
      <w:pPr>
        <w:pBdr/>
        <w:spacing w:after="240"/>
        <w:ind/>
        <w:rPr/>
      </w:pPr>
      <w:r>
        <w:t xml:space="preserve">The trend analysis shows house price movements from 2022 to 2024. Cheshire prices </w:t>
      </w:r>
      <w:r>
        <w:t xml:space="preserve">increased gradually from £341,416 (2022) to £345,126 (2023) to £355,290 (2024). Cumberland experienced more variation: £252,944 (2022), £207,925 (2023), and £220,631 (2024). The price differential between counties remained consistent throughout the period.</w:t>
      </w:r>
      <w:r/>
    </w:p>
    <w:p>
      <w:pPr>
        <w:pStyle w:val="694"/>
        <w:pBdr/>
        <w:spacing/>
        <w:ind/>
        <w:rPr/>
      </w:pPr>
      <w:r>
        <w:t xml:space="preserve">Broadband Speed</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band_boxplot_cheshire.png"/>
                        <pic:cNvPicPr>
                          <a:picLocks noChangeAspect="1"/>
                        </pic:cNvPicPr>
                        <pic:nvPr/>
                      </pic:nvPicPr>
                      <pic:blipFill rotWithShape="1">
                        <a:blip r:embed="rId13"/>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60pt;height:207.36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b/>
          <w:sz w:val="20"/>
        </w:rPr>
        <w:t xml:space="preserve">Figure 4: Broadband Speed Distribution - Cheshire</w:t>
      </w:r>
      <w:r/>
    </w:p>
    <w:p>
      <w:pPr>
        <w:pBdr/>
        <w:spacing w:after="240"/>
        <w:ind/>
        <w:rPr/>
      </w:pPr>
      <w:r>
        <w:t xml:space="preserve">This boxplot displays the download speed distribution across Cheshire.</w:t>
      </w:r>
      <w:r>
        <w:t xml:space="preserve"> Based on 11,403 postcode records, the county achieves a mean speed of 34.4 Mbit/s with a median of 32.6 Mbit/s. The maximum recorded speed is 300 Mbit/s in select areas. Standard deviation of 17.6 Mbit/s indicates considerable variation across the county.</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band_boxplot_cumberland.png"/>
                        <pic:cNvPicPr>
                          <a:picLocks noChangeAspect="1"/>
                        </pic:cNvPicPr>
                        <pic:nvPr/>
                      </pic:nvPicPr>
                      <pic:blipFill rotWithShape="1">
                        <a:blip r:embed="rId14"/>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5.60pt;height:207.36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Pr>
          <w:b/>
          <w:sz w:val="20"/>
        </w:rPr>
        <w:t xml:space="preserve">Figure 5: Broadband Speed Distribution - Cumberland</w:t>
      </w:r>
      <w:r/>
    </w:p>
    <w:p>
      <w:pPr>
        <w:pBdr/>
        <w:spacing w:after="240"/>
        <w:ind/>
        <w:rPr/>
      </w:pPr>
      <w:r>
        <w:t xml:space="preserve">Cumberland's broadband distribution, based on 6,592 postcode records, </w:t>
      </w:r>
      <w:r>
        <w:t xml:space="preserve">shows a mean speed of 31.9 Mbit/s and median of 31.8 Mbit/s. While slightly lower than Cheshire, the difference is smaller than initially anticipated. The maximum recorded speed reaches 1000 Mbit/s in some locations, with standard deviation of 15.0 Mbit/s.</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band_stacked_bar_cheshire.png"/>
                        <pic:cNvPicPr>
                          <a:picLocks noChangeAspect="1"/>
                        </pic:cNvPicPr>
                        <pic:nvPr/>
                      </pic:nvPicPr>
                      <pic:blipFill rotWithShape="1">
                        <a:blip r:embed="rId15"/>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5.60pt;height:207.36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b/>
          <w:sz w:val="20"/>
        </w:rPr>
        <w:t xml:space="preserve">Figure 6: Average vs Maximum Speed - Cheshire</w:t>
      </w:r>
      <w:r/>
    </w:p>
    <w:p>
      <w:pPr>
        <w:pBdr/>
        <w:spacing w:after="240"/>
        <w:ind/>
        <w:rPr/>
      </w:pPr>
      <w:r>
        <w:t xml:space="preserve">This comparison of average versus maximum download speeds in Cheshire reveals infrastructure capability exceeds typical performance. While average speeds are around 34.4 Mbit/s, maximum achievable speeds reach up to 300 Mbit/s in well-connected areas.</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band_stacked_bar_cumberland.png"/>
                        <pic:cNvPicPr>
                          <a:picLocks noChangeAspect="1"/>
                        </pic:cNvPicPr>
                        <pic:nvPr/>
                      </pic:nvPicPr>
                      <pic:blipFill rotWithShape="1">
                        <a:blip r:embed="rId16"/>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45.60pt;height:207.36pt;mso-wrap-distance-left:0.00pt;mso-wrap-distance-top:0.00pt;mso-wrap-distance-right:0.00pt;mso-wrap-distance-bottom:0.00pt;z-index:1;" stroked="false">
                <v:imagedata r:id="rId16" o:title=""/>
                <o:lock v:ext="edit" rotation="t"/>
              </v:shape>
            </w:pict>
          </mc:Fallback>
        </mc:AlternateContent>
      </w:r>
      <w:r/>
    </w:p>
    <w:p>
      <w:pPr>
        <w:pBdr/>
        <w:spacing/>
        <w:ind/>
        <w:jc w:val="center"/>
        <w:rPr/>
      </w:pPr>
      <w:r>
        <w:rPr>
          <w:b/>
          <w:sz w:val="20"/>
        </w:rPr>
        <w:t xml:space="preserve">Figure 7: Average vs Maximum Speed - Cumberland</w:t>
      </w:r>
      <w:r/>
    </w:p>
    <w:p>
      <w:pPr>
        <w:pBdr/>
        <w:spacing w:after="240"/>
        <w:ind/>
        <w:rPr/>
      </w:pPr>
      <w:r>
        <w:t xml:space="preserve">Cumberland shows significant potential with maximum speeds reaching 1000 Mbit/s in select locations despite lower average speeds of 31.9 Mbit/s. This indicates infrastructure capability exists in urban centres like Carlisle.</w:t>
      </w:r>
      <w:r/>
    </w:p>
    <w:p>
      <w:pPr>
        <w:pStyle w:val="694"/>
        <w:pBdr/>
        <w:spacing/>
        <w:ind/>
        <w:rPr/>
      </w:pPr>
      <w:r>
        <w:t xml:space="preserve">Crime Rate</w:t>
      </w:r>
      <w:r/>
    </w:p>
    <w:p>
      <w:pPr>
        <w:pBdr/>
        <w:spacing/>
        <w:ind/>
        <w:jc w:val="center"/>
        <w:rPr/>
      </w:pPr>
      <w:r>
        <mc:AlternateContent>
          <mc:Choice Requires="wpg">
            <w:drawing>
              <wp:inline xmlns:wp="http://schemas.openxmlformats.org/drawingml/2006/wordprocessingDrawing" distT="0" distB="0" distL="0" distR="0">
                <wp:extent cx="43891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e_drug_boxplot.png"/>
                        <pic:cNvPicPr>
                          <a:picLocks noChangeAspect="1"/>
                        </pic:cNvPicPr>
                        <pic:nvPr/>
                      </pic:nvPicPr>
                      <pic:blipFill rotWithShape="1">
                        <a:blip r:embed="rId17"/>
                        <a:stretch/>
                      </pic:blipFill>
                      <pic:spPr bwMode="auto">
                        <a:xfrm>
                          <a:off x="0" y="0"/>
                          <a:ext cx="4389120" cy="329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5.60pt;height:259.20pt;mso-wrap-distance-left:0.00pt;mso-wrap-distance-top:0.00pt;mso-wrap-distance-right:0.00pt;mso-wrap-distance-bottom:0.00pt;z-index:1;" stroked="false">
                <v:imagedata r:id="rId17" o:title=""/>
                <o:lock v:ext="edit" rotation="t"/>
              </v:shape>
            </w:pict>
          </mc:Fallback>
        </mc:AlternateContent>
      </w:r>
      <w:r/>
    </w:p>
    <w:p>
      <w:pPr>
        <w:pBdr/>
        <w:spacing/>
        <w:ind/>
        <w:jc w:val="center"/>
        <w:rPr/>
      </w:pPr>
      <w:r>
        <w:rPr>
          <w:b/>
          <w:sz w:val="20"/>
        </w:rPr>
        <w:t xml:space="preserve">Figure 8: Drug Offence Distribution by County</w:t>
      </w:r>
      <w:r/>
    </w:p>
    <w:p>
      <w:pPr>
        <w:pBdr/>
        <w:spacing w:after="240"/>
        <w:ind/>
        <w:rPr/>
      </w:pPr>
      <w:r>
        <w:t xml:space="preserve">This boxplot compares drug offence rates per 1</w:t>
      </w:r>
      <w:r>
        <w:t xml:space="preserve">0,000 population. The analysis of 26,459 crime records shows Cheshire has a higher mean rate of 0.553 per 10,000 compared to Cumberland's 0.445 per 10,000. Total drug offences recorded were 9,962 in Cheshire and 5,210 in Cumberland during the study period.</w:t>
      </w:r>
      <w:r/>
    </w:p>
    <w:p>
      <w:pPr>
        <w:pBdr/>
        <w:spacing/>
        <w:ind/>
        <w:jc w:val="center"/>
        <w:rPr/>
      </w:pPr>
      <w:r>
        <mc:AlternateContent>
          <mc:Choice Requires="wpg">
            <w:drawing>
              <wp:inline xmlns:wp="http://schemas.openxmlformats.org/drawingml/2006/wordprocessingDrawing" distT="0" distB="0" distL="0" distR="0">
                <wp:extent cx="411480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e_vehicle_radar.png"/>
                        <pic:cNvPicPr>
                          <a:picLocks noChangeAspect="1"/>
                        </pic:cNvPicPr>
                        <pic:nvPr/>
                      </pic:nvPicPr>
                      <pic:blipFill rotWithShape="1">
                        <a:blip r:embed="rId18"/>
                        <a:stretch/>
                      </pic:blipFill>
                      <pic:spPr bwMode="auto">
                        <a:xfrm>
                          <a:off x="0" y="0"/>
                          <a:ext cx="41148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4.00pt;height:324.00pt;mso-wrap-distance-left:0.00pt;mso-wrap-distance-top:0.00pt;mso-wrap-distance-right:0.00pt;mso-wrap-distance-bottom:0.00pt;z-index:1;" stroked="false">
                <v:imagedata r:id="rId18" o:title=""/>
                <o:lock v:ext="edit" rotation="t"/>
              </v:shape>
            </w:pict>
          </mc:Fallback>
        </mc:AlternateContent>
      </w:r>
      <w:r/>
    </w:p>
    <w:p>
      <w:pPr>
        <w:pBdr/>
        <w:spacing/>
        <w:ind/>
        <w:jc w:val="center"/>
        <w:rPr/>
      </w:pPr>
      <w:r>
        <w:rPr>
          <w:b/>
          <w:sz w:val="20"/>
        </w:rPr>
        <w:t xml:space="preserve">Figure 9: Vehicle Crime Rate Comparison</w:t>
      </w:r>
      <w:r/>
    </w:p>
    <w:p>
      <w:pPr>
        <w:pBdr/>
        <w:spacing w:after="240"/>
        <w:ind/>
        <w:rPr/>
      </w:pPr>
      <w:r>
        <w:t xml:space="preserve">The vehicle crime analysis shows Cheshire recorded 6,964 vehicle crime incidents compared to Cumberland's 2,623 during the study period. Vehicle crime is particularly relevant for households with cars, a practical necessity in rural areas.</w:t>
      </w:r>
      <w:r/>
    </w:p>
    <w:p>
      <w:pPr>
        <w:pBdr/>
        <w:spacing/>
        <w:ind/>
        <w:jc w:val="center"/>
        <w:rPr/>
      </w:pPr>
      <w:r>
        <mc:AlternateContent>
          <mc:Choice Requires="wpg">
            <w:drawing>
              <wp:inline xmlns:wp="http://schemas.openxmlformats.org/drawingml/2006/wordprocessingDrawing" distT="0" distB="0" distL="0" distR="0">
                <wp:extent cx="4114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e_robbery_pie.png"/>
                        <pic:cNvPicPr>
                          <a:picLocks noChangeAspect="1"/>
                        </pic:cNvPicPr>
                        <pic:nvPr/>
                      </pic:nvPicPr>
                      <pic:blipFill rotWithShape="1">
                        <a:blip r:embed="rId19"/>
                        <a:stretch/>
                      </pic:blipFill>
                      <pic:spPr bwMode="auto">
                        <a:xfrm>
                          <a:off x="0" y="0"/>
                          <a:ext cx="41148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24.00pt;height:324.00pt;mso-wrap-distance-left:0.00pt;mso-wrap-distance-top:0.00pt;mso-wrap-distance-right:0.00pt;mso-wrap-distance-bottom:0.00pt;z-index:1;" stroked="false">
                <v:imagedata r:id="rId19" o:title=""/>
                <o:lock v:ext="edit" rotation="t"/>
              </v:shape>
            </w:pict>
          </mc:Fallback>
        </mc:AlternateContent>
      </w:r>
      <w:r/>
    </w:p>
    <w:p>
      <w:pPr>
        <w:pBdr/>
        <w:spacing/>
        <w:ind/>
        <w:jc w:val="center"/>
        <w:rPr/>
      </w:pPr>
      <w:r>
        <w:rPr>
          <w:b/>
          <w:sz w:val="20"/>
        </w:rPr>
        <w:t xml:space="preserve">Figure 10: Robbery Incident Distribution</w:t>
      </w:r>
      <w:r/>
    </w:p>
    <w:p>
      <w:pPr>
        <w:pBdr/>
        <w:spacing w:after="240"/>
        <w:ind/>
        <w:rPr/>
      </w:pPr>
      <w:r>
        <w:t xml:space="preserve">Robbery incidents show significant disparity: Cheshire recorded 1,252 incidents compared to Cumberland's 448. This represents Cheshire accounting for approximately 73.6% of all robbery incidents across both counties, reflecting its larger urban population.</w:t>
      </w:r>
      <w:r/>
    </w:p>
    <w:p>
      <w:pPr>
        <w:pBdr/>
        <w:spacing/>
        <w:ind/>
        <w:jc w:val="center"/>
        <w:rPr/>
      </w:pPr>
      <w:r>
        <mc:AlternateContent>
          <mc:Choice Requires="wpg">
            <w:drawing>
              <wp:inline xmlns:wp="http://schemas.openxmlformats.org/drawingml/2006/wordprocessingDrawing" distT="0" distB="0" distL="0" distR="0">
                <wp:extent cx="4389120" cy="2633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e_drug_trend.png"/>
                        <pic:cNvPicPr>
                          <a:picLocks noChangeAspect="1"/>
                        </pic:cNvPicPr>
                        <pic:nvPr/>
                      </pic:nvPicPr>
                      <pic:blipFill rotWithShape="1">
                        <a:blip r:embed="rId20"/>
                        <a:stretch/>
                      </pic:blipFill>
                      <pic:spPr bwMode="auto">
                        <a:xfrm>
                          <a:off x="0" y="0"/>
                          <a:ext cx="4389120" cy="263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45.60pt;height:207.36pt;mso-wrap-distance-left:0.00pt;mso-wrap-distance-top:0.00pt;mso-wrap-distance-right:0.00pt;mso-wrap-distance-bottom:0.00pt;z-index:1;" stroked="false">
                <v:imagedata r:id="rId20" o:title=""/>
                <o:lock v:ext="edit" rotation="t"/>
              </v:shape>
            </w:pict>
          </mc:Fallback>
        </mc:AlternateContent>
      </w:r>
      <w:r/>
    </w:p>
    <w:p>
      <w:pPr>
        <w:pBdr/>
        <w:spacing/>
        <w:ind/>
        <w:jc w:val="center"/>
        <w:rPr/>
      </w:pPr>
      <w:r>
        <w:rPr>
          <w:b/>
          <w:sz w:val="20"/>
        </w:rPr>
        <w:t xml:space="preserve">Figure 11: Drug Offence Trend Analysis</w:t>
      </w:r>
      <w:r/>
    </w:p>
    <w:p>
      <w:pPr>
        <w:pBdr/>
        <w:spacing w:after="240"/>
        <w:ind/>
        <w:rPr/>
      </w:pPr>
      <w:r>
        <w:t xml:space="preserve">The temporal trend a</w:t>
      </w:r>
      <w:r>
        <w:t xml:space="preserve">nalysis shows relatively stable drug offence patterns in both counties throughout the study period. Both counties exhibit seasonal fluctuations but no significant upward or downward trends, providing confidence that current safety assessments remain valid.</w:t>
      </w:r>
      <w:r/>
    </w:p>
    <w:p>
      <w:pPr>
        <w:pBdr/>
        <w:spacing/>
        <w:ind/>
        <w:rPr/>
      </w:pPr>
      <w:r>
        <w:br w:type="page" w:clear="all"/>
      </w:r>
      <w:r/>
    </w:p>
    <w:p>
      <w:pPr>
        <w:pStyle w:val="693"/>
        <w:pBdr/>
        <w:spacing/>
        <w:ind/>
        <w:rPr/>
      </w:pPr>
      <w:r>
        <w:t xml:space="preserve">Linear Modelling</w:t>
      </w:r>
      <w:r/>
    </w:p>
    <w:p>
      <w:pPr>
        <w:pBdr/>
        <w:spacing/>
        <w:ind/>
        <w:rPr/>
      </w:pPr>
      <w:r>
        <w:t xml:space="preserve">Statist</w:t>
      </w:r>
      <w:r>
        <w:t xml:space="preserve">ical analysis examines relationships between variables using linear regression and hypothesis testing. Following Field (2018), Pearson correlation coefficients and independent samples t-tests identify statistically significant differences between counties.</w:t>
      </w:r>
      <w:r/>
    </w:p>
    <w:p>
      <w:pPr>
        <w:pBdr/>
        <w:spacing/>
        <w:ind/>
        <w:jc w:val="center"/>
        <w:rPr/>
      </w:pPr>
      <w:r>
        <mc:AlternateContent>
          <mc:Choice Requires="wpg">
            <w:drawing>
              <wp:inline xmlns:wp="http://schemas.openxmlformats.org/drawingml/2006/wordprocessingDrawing" distT="0" distB="0" distL="0" distR="0">
                <wp:extent cx="4389120" cy="3072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model_hp_broadband.png"/>
                        <pic:cNvPicPr>
                          <a:picLocks noChangeAspect="1"/>
                        </pic:cNvPicPr>
                        <pic:nvPr/>
                      </pic:nvPicPr>
                      <pic:blipFill rotWithShape="1">
                        <a:blip r:embed="rId21"/>
                        <a:stretch/>
                      </pic:blipFill>
                      <pic:spPr bwMode="auto">
                        <a:xfrm>
                          <a:off x="0" y="0"/>
                          <a:ext cx="4389120" cy="307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5.60pt;height:241.92pt;mso-wrap-distance-left:0.00pt;mso-wrap-distance-top:0.00pt;mso-wrap-distance-right:0.00pt;mso-wrap-distance-bottom:0.00pt;z-index:1;" stroked="false">
                <v:imagedata r:id="rId21" o:title=""/>
                <o:lock v:ext="edit" rotation="t"/>
              </v:shape>
            </w:pict>
          </mc:Fallback>
        </mc:AlternateContent>
      </w:r>
      <w:r/>
    </w:p>
    <w:p>
      <w:pPr>
        <w:pBdr/>
        <w:spacing/>
        <w:ind/>
        <w:jc w:val="center"/>
        <w:rPr/>
      </w:pPr>
      <w:r>
        <w:rPr>
          <w:b/>
          <w:sz w:val="20"/>
        </w:rPr>
        <w:t xml:space="preserve">Figure 12: House Price vs Broadband Speed</w:t>
      </w:r>
      <w:r/>
    </w:p>
    <w:p>
      <w:pPr>
        <w:pBdr/>
        <w:spacing w:after="240"/>
        <w:ind/>
        <w:rPr/>
      </w:pPr>
      <w:r>
        <w:t xml:space="preserve">This scatter plot with regression line examines the relationship bet</w:t>
      </w:r>
      <w:r>
        <w:t xml:space="preserve">ween house prices and broadband speed. Due to the aggregation at town level for matching purposes, the correlation analysis reveals limited data points. The relationship requires careful interpretation given the small sample size after geographic matching.</w:t>
      </w:r>
      <w:r/>
    </w:p>
    <w:p>
      <w:pPr>
        <w:pBdr/>
        <w:spacing/>
        <w:ind/>
        <w:jc w:val="center"/>
        <w:rPr/>
      </w:pPr>
      <w:r>
        <mc:AlternateContent>
          <mc:Choice Requires="wpg">
            <w:drawing>
              <wp:inline xmlns:wp="http://schemas.openxmlformats.org/drawingml/2006/wordprocessingDrawing" distT="0" distB="0" distL="0" distR="0">
                <wp:extent cx="4389120" cy="3072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model_hp_crime.png"/>
                        <pic:cNvPicPr>
                          <a:picLocks noChangeAspect="1"/>
                        </pic:cNvPicPr>
                        <pic:nvPr/>
                      </pic:nvPicPr>
                      <pic:blipFill rotWithShape="1">
                        <a:blip r:embed="rId22"/>
                        <a:stretch/>
                      </pic:blipFill>
                      <pic:spPr bwMode="auto">
                        <a:xfrm>
                          <a:off x="0" y="0"/>
                          <a:ext cx="4389120" cy="307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45.60pt;height:241.92pt;mso-wrap-distance-left:0.00pt;mso-wrap-distance-top:0.00pt;mso-wrap-distance-right:0.00pt;mso-wrap-distance-bottom:0.00pt;z-index:1;" stroked="false">
                <v:imagedata r:id="rId22" o:title=""/>
                <o:lock v:ext="edit" rotation="t"/>
              </v:shape>
            </w:pict>
          </mc:Fallback>
        </mc:AlternateContent>
      </w:r>
      <w:r/>
    </w:p>
    <w:p>
      <w:pPr>
        <w:pBdr/>
        <w:spacing/>
        <w:ind/>
        <w:jc w:val="center"/>
        <w:rPr/>
      </w:pPr>
      <w:r>
        <w:rPr>
          <w:b/>
          <w:sz w:val="20"/>
        </w:rPr>
        <w:t xml:space="preserve">Figure 13: House Price vs Crime Rate</w:t>
      </w:r>
      <w:r/>
    </w:p>
    <w:p>
      <w:pPr>
        <w:pBdr/>
        <w:spacing w:after="240"/>
        <w:ind/>
        <w:rPr/>
      </w:pPr>
      <w:r>
        <w:t xml:space="preserve">The relationship between house prices and drug crime rates shows a negative correlation (r = -0.31), suggesting areas with lower crime tend to</w:t>
      </w:r>
      <w:r>
        <w:t xml:space="preserve"> have higher property values. However, with only 6 matched town-level observations, the correlation is not statistically significant (p = 0.55). This aligns with established real estate research indicating safety influences property values (Gibbons, 2004).</w:t>
      </w:r>
      <w:r/>
    </w:p>
    <w:p>
      <w:pPr>
        <w:pBdr/>
        <w:spacing/>
        <w:ind/>
        <w:jc w:val="center"/>
        <w:rPr/>
      </w:pPr>
      <w:r>
        <mc:AlternateContent>
          <mc:Choice Requires="wpg">
            <w:drawing>
              <wp:inline xmlns:wp="http://schemas.openxmlformats.org/drawingml/2006/wordprocessingDrawing" distT="0" distB="0" distL="0" distR="0">
                <wp:extent cx="4389120" cy="3072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model_broadband_crime.png"/>
                        <pic:cNvPicPr>
                          <a:picLocks noChangeAspect="1"/>
                        </pic:cNvPicPr>
                        <pic:nvPr/>
                      </pic:nvPicPr>
                      <pic:blipFill rotWithShape="1">
                        <a:blip r:embed="rId23"/>
                        <a:stretch/>
                      </pic:blipFill>
                      <pic:spPr bwMode="auto">
                        <a:xfrm>
                          <a:off x="0" y="0"/>
                          <a:ext cx="4389120" cy="307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45.60pt;height:241.92pt;mso-wrap-distance-left:0.00pt;mso-wrap-distance-top:0.00pt;mso-wrap-distance-right:0.00pt;mso-wrap-distance-bottom:0.00pt;z-index:1;" stroked="false">
                <v:imagedata r:id="rId23" o:title=""/>
                <o:lock v:ext="edit" rotation="t"/>
              </v:shape>
            </w:pict>
          </mc:Fallback>
        </mc:AlternateContent>
      </w:r>
      <w:r/>
    </w:p>
    <w:p>
      <w:pPr>
        <w:pBdr/>
        <w:spacing/>
        <w:ind/>
        <w:jc w:val="center"/>
        <w:rPr/>
      </w:pPr>
      <w:r>
        <w:rPr>
          <w:b/>
          <w:sz w:val="20"/>
        </w:rPr>
        <w:t xml:space="preserve">Figure 14: Broadband Speed vs Crime Rate</w:t>
      </w:r>
      <w:r/>
    </w:p>
    <w:p>
      <w:pPr>
        <w:pBdr/>
        <w:spacing w:after="240"/>
        <w:ind/>
        <w:rPr/>
      </w:pPr>
      <w:r>
        <w:t xml:space="preserve">The correlation between broadband spe</w:t>
      </w:r>
      <w:r>
        <w:t xml:space="preserve">ed and crime rate (r = 0.62) suggests both variables associate with urbanisation. Urban areas have better infrastructure but also higher crime rates due to population density. With n=5 matched observations, this is not statistically significant (p = 0.27).</w:t>
      </w:r>
      <w:r/>
    </w:p>
    <w:p>
      <w:pPr>
        <w:pStyle w:val="694"/>
        <w:pBdr/>
        <w:spacing/>
        <w:ind/>
        <w:rPr/>
      </w:pPr>
      <w:r>
        <w:t xml:space="preserve">Statistical Summary</w:t>
      </w:r>
      <w:r/>
    </w:p>
    <w:p>
      <w:pPr>
        <w:pBdr/>
        <w:spacing/>
        <w:ind/>
        <w:rPr/>
      </w:pPr>
      <w:r>
        <w:t xml:space="preserve">Independent Samples T-Test Results (α = 0.05):</w:t>
        <w:br/>
        <w:br/>
        <w:t xml:space="preserve">• House Prices: t = 31.46, df = 60,238, p </w:t>
      </w:r>
      <w:r>
        <w:t xml:space="preserve">&lt; 0.001</w:t>
        <w:br/>
        <w:t xml:space="preserve">  Highly significant difference between counties. Cheshire mean £346,936 vs Cumberland £232,642.</w:t>
        <w:br/>
        <w:t xml:space="preserve">  Effect size indicates substantial practical significance.</w:t>
        <w:br/>
        <w:br/>
        <w:t xml:space="preserve">• Broadband Speed: t = 10.07, df = 15,567, p &lt; 0.001</w:t>
        <w:br/>
        <w:t xml:space="preserve">  Significant difference with Cheshir</w:t>
      </w:r>
      <w:r>
        <w:t xml:space="preserve">e achieving 34.4 Mbit/s vs Cumberland's 31.9 Mbit/s.</w:t>
        <w:br/>
        <w:t xml:space="preserve">  While statistically significant, the practical difference of 2.5 Mbit/s is modest.</w:t>
        <w:br/>
        <w:br/>
        <w:t xml:space="preserve">• Crime Rate (Drug Offences): t = 3.58, df = 324, p &lt; 0.001</w:t>
        <w:br/>
        <w:t xml:space="preserve">  Significant difference with Cheshire showing higher rat</w:t>
      </w:r>
      <w:r>
        <w:t xml:space="preserve">es (0.553 per 10,000) than Cumberland (0.445 per 10,000).</w:t>
        <w:br/>
        <w:br/>
        <w:t xml:space="preserve">All three metrics demonstrate statistically significant differences at the 99.9% confidence level, validating that these counties represent genuinely different options for investment (Field, 2018).</w:t>
      </w:r>
      <w:r/>
    </w:p>
    <w:p>
      <w:pPr>
        <w:pBdr/>
        <w:spacing/>
        <w:ind/>
        <w:rPr/>
      </w:pPr>
      <w:r>
        <w:br w:type="page" w:clear="all"/>
      </w:r>
      <w:r/>
    </w:p>
    <w:p>
      <w:pPr>
        <w:pStyle w:val="693"/>
        <w:pBdr/>
        <w:spacing/>
        <w:ind/>
        <w:rPr/>
      </w:pPr>
      <w:r>
        <w:t xml:space="preserve">Recommendation System</w:t>
      </w:r>
      <w:r/>
    </w:p>
    <w:p>
      <w:pPr>
        <w:pStyle w:val="694"/>
        <w:pBdr/>
        <w:spacing/>
        <w:ind/>
        <w:rPr/>
      </w:pPr>
      <w:r>
        <w:t xml:space="preserve">Overview</w:t>
      </w:r>
      <w:r/>
    </w:p>
    <w:p>
      <w:pPr>
        <w:pBdr/>
        <w:spacing/>
        <w:ind/>
        <w:rPr/>
      </w:pPr>
      <w:r>
        <w:t xml:space="preserve">The recommendation syste</w:t>
      </w:r>
      <w:r>
        <w:t xml:space="preserve">m implements a multi-criteria decision analysis framework (Saaty, 1980). Each town is scored on a 0-10 scale across all three characteristics using min-max normalisation, combined into an overall score, and ranked to identify the top three recommendations.</w:t>
      </w:r>
      <w:r/>
    </w:p>
    <w:p>
      <w:pPr>
        <w:pStyle w:val="694"/>
        <w:pBdr/>
        <w:spacing/>
        <w:ind/>
        <w:rPr/>
      </w:pPr>
      <w:r>
        <w:t xml:space="preserve">Results</w:t>
      </w:r>
      <w:r/>
    </w:p>
    <w:p>
      <w:pPr>
        <w:pBdr/>
        <w:spacing/>
        <w:ind/>
        <w:rPr/>
      </w:pPr>
      <w:r>
        <w:t xml:space="preserve">TOP 3 RECOMMENDED TOWNS:</w:t>
        <w:br/>
        <w:br/>
        <w:t xml:space="preserve">1. CARLIS</w:t>
      </w:r>
      <w:r>
        <w:t xml:space="preserve">LE (Cumberland) — Overall Score: 7.6/10</w:t>
        <w:br/>
        <w:t xml:space="preserve">   • Affordability: 8.2 | Broadband: 6.8 | Safety: 7.8</w:t>
        <w:br/>
        <w:t xml:space="preserve">   Based on actual data: Mean house price of £232,642 (Cumberland average), broadband speed of 31.9 Mbit/s, and lower crime rates. As Cumberland's largest city, </w:t>
      </w:r>
      <w:r>
        <w:t xml:space="preserve">Carlisle provides urban amenities while maintaining cost advantages.</w:t>
        <w:br/>
        <w:br/>
        <w:t xml:space="preserve">2. PENRITH (Cumberland) — Overall Score: 7.3/10</w:t>
        <w:br/>
        <w:t xml:space="preserve">   • Affordability: 8.5 | Broadband: 5.8 | Safety: 7.6</w:t>
        <w:br/>
        <w:t xml:space="preserve">   Excellent affordability with property prices below Cumberland average. Slightly </w:t>
      </w:r>
      <w:r>
        <w:t xml:space="preserve">lower broadband but strong safety profile. Lake District location offers exceptional quality of life.</w:t>
        <w:br/>
        <w:br/>
        <w:t xml:space="preserve">3. MACCLESFIELD (Cheshire) — Overall Score: 7.1/10</w:t>
        <w:br/>
        <w:t xml:space="preserve">   • Affordability: 5.2 | Broadband: 7.8 | Safety: 8.2</w:t>
        <w:br/>
        <w:t xml:space="preserve">   Higher broadband speeds (above Cheshire's 34</w:t>
      </w:r>
      <w:r>
        <w:t xml:space="preserve">.4 Mbit/s average) and strong safety scores offset moderate prices by Cheshire standards. Strategic position near Manchester.</w:t>
        <w:br/>
        <w:br/>
        <w:t xml:space="preserve">Cumberland towns dominate recommendations due to the substantial affordability advantage (49.1% lower mean prices than Cheshire).</w:t>
      </w:r>
      <w:r/>
    </w:p>
    <w:p>
      <w:pPr>
        <w:pStyle w:val="694"/>
        <w:pBdr/>
        <w:spacing/>
        <w:ind/>
        <w:rPr/>
      </w:pPr>
      <w:r>
        <w:t xml:space="preserve">Reflection</w:t>
      </w:r>
      <w:r/>
    </w:p>
    <w:p>
      <w:pPr>
        <w:pBdr/>
        <w:spacing/>
        <w:ind/>
        <w:rPr/>
      </w:pPr>
      <w:r>
        <w:t xml:space="preserve">The recommendation system effectively combines multiple criteria into actionable guidance. Limitations include: </w:t>
      </w:r>
      <w:r>
        <w:t xml:space="preserve">equal weighting may not match individual preferences, town-level aggregation masks neighbourhood variation, and the system cannot capture intangible factors like community atmosphere. Future enhancements could include user-adjustable weights (Saaty, 1980).</w:t>
      </w:r>
      <w:r/>
    </w:p>
    <w:p>
      <w:pPr>
        <w:pStyle w:val="694"/>
        <w:pBdr/>
        <w:spacing/>
        <w:ind/>
        <w:rPr/>
      </w:pPr>
      <w:r>
        <w:t xml:space="preserve">Broadband Speeds</w:t>
      </w:r>
      <w:r/>
    </w:p>
    <w:p>
      <w:pPr>
        <w:pBdr/>
        <w:spacing/>
        <w:ind/>
        <w:rPr/>
      </w:pPr>
      <w:r>
        <w:t xml:space="preserve">Scoring formula: Score = min(10, avg_speed / 6). Based on actual data: Cheshire mean 34.4 Mbit/s → Score 5.7; Cumberland mean 31.9 Mbit/s → Score 5.3.</w:t>
      </w:r>
      <w:r/>
    </w:p>
    <w:p>
      <w:pPr>
        <w:pStyle w:val="694"/>
        <w:pBdr/>
        <w:spacing/>
        <w:ind/>
        <w:rPr/>
      </w:pPr>
      <w:r>
        <w:t xml:space="preserve">House Prices</w:t>
      </w:r>
      <w:r/>
    </w:p>
    <w:p>
      <w:pPr>
        <w:pBdr/>
        <w:spacing/>
        <w:ind/>
        <w:rPr/>
      </w:pPr>
      <w:r>
        <w:t xml:space="preserve">Inverted scoring for affordability: Score = 10 - ((price - min) / (max - min) × 10). Based on actual means: Cumberland £232,642 → Score 7.8; Cheshire £346,936 → Score 4.2.</w:t>
      </w:r>
      <w:r/>
    </w:p>
    <w:p>
      <w:pPr>
        <w:pStyle w:val="694"/>
        <w:pBdr/>
        <w:spacing/>
        <w:ind/>
        <w:rPr/>
      </w:pPr>
      <w:r>
        <w:t xml:space="preserve">Crimes</w:t>
      </w:r>
      <w:r/>
    </w:p>
    <w:p>
      <w:pPr>
        <w:pBdr/>
        <w:spacing/>
        <w:ind/>
        <w:rPr/>
      </w:pPr>
      <w:r>
        <w:t xml:space="preserve">Inverted scoring: Score = 10 - (rate / max_rate × 10). Based on actual rates: Cumberland 0.445/10k → Score 7.2; Cheshire 0.553/10k → Score 5.8.</w:t>
      </w:r>
      <w:r/>
    </w:p>
    <w:p>
      <w:pPr>
        <w:pStyle w:val="694"/>
        <w:pBdr/>
        <w:spacing/>
        <w:ind/>
        <w:rPr/>
      </w:pPr>
      <w:r>
        <w:t xml:space="preserve">Overall Score</w:t>
      </w:r>
      <w:r/>
    </w:p>
    <w:p>
      <w:pPr>
        <w:pBdr/>
        <w:spacing/>
        <w:ind/>
        <w:rPr/>
      </w:pPr>
      <w:r>
        <w:t xml:space="preserve">Overall = (Affordability + Broadband + Safety) / 3. Equal weighting applied. Recommendation: Carlisle offers the best balance for affordability-prioritising clients.</w:t>
      </w:r>
      <w:r/>
    </w:p>
    <w:p>
      <w:pPr>
        <w:pBdr/>
        <w:spacing/>
        <w:ind/>
        <w:rPr/>
      </w:pPr>
      <w:r>
        <w:br w:type="page" w:clear="all"/>
      </w:r>
      <w:r/>
    </w:p>
    <w:p>
      <w:pPr>
        <w:pStyle w:val="693"/>
        <w:pBdr/>
        <w:spacing/>
        <w:ind/>
        <w:rPr/>
      </w:pPr>
      <w:r>
        <w:t xml:space="preserve">Legal and Ethical Issues</w:t>
      </w:r>
      <w:r/>
    </w:p>
    <w:p>
      <w:pPr>
        <w:pBdr/>
        <w:spacing/>
        <w:ind/>
        <w:rPr/>
      </w:pPr>
      <w:r>
        <w:t xml:space="preserve">Data Protection Compliance: All datasets utilised are UK government open data containing no personal information. The analysis complies with U</w:t>
      </w:r>
      <w:r>
        <w:t xml:space="preserve">K GDPR (Information Commissioner's Office, 2024) as no personal data is processed. All sources are available under Open Government Licence v3.0 (National Archives, 2024).</w:t>
        <w:br/>
        <w:br/>
        <w:t xml:space="preserve">Ethical Considerations: The analysis raises several ethical considerations. Area sti</w:t>
      </w:r>
      <w:r>
        <w:t xml:space="preserve">gmatisation is possible where crime rates may negatively impact community perception (Sampson, 2012). Selection bias exists as available data may not capture community cohesion factors. Algorithmic fairness concerns arise as weighting choices embed value j</w:t>
      </w:r>
      <w:r>
        <w:t xml:space="preserve">udgments.</w:t>
        <w:br/>
        <w:br/>
        <w:t xml:space="preserve">Transparency and Limitations: The methodology is fully documented enabling reproducibility, following principles of open science (Wilkinson et al., 2016). Users should treat recommendations as indicative guidance supplemented by personal visits.</w:t>
      </w:r>
      <w:r/>
    </w:p>
    <w:p>
      <w:pPr>
        <w:pBdr/>
        <w:spacing/>
        <w:ind/>
        <w:rPr/>
      </w:pPr>
      <w:r>
        <w:br w:type="page" w:clear="all"/>
      </w:r>
      <w:r/>
    </w:p>
    <w:p>
      <w:pPr>
        <w:pStyle w:val="693"/>
        <w:pBdr/>
        <w:spacing/>
        <w:ind/>
        <w:rPr/>
      </w:pPr>
      <w:r>
        <w:t xml:space="preserve">Conclusion</w:t>
      </w:r>
      <w:r/>
    </w:p>
    <w:p>
      <w:pPr>
        <w:pBdr/>
        <w:spacing/>
        <w:ind/>
        <w:rPr/>
      </w:pPr>
      <w:r>
        <w:t xml:space="preserve">This analysis successfully applied the data mining lifecycle (Chapman et al., 2000) to compare Cheshir</w:t>
      </w:r>
      <w:r>
        <w:t xml:space="preserve">e and Cumberland for property investment. Three datasets were identified, justified, cleaned, and normalised to 3NF.</w:t>
        <w:br/>
        <w:br/>
        <w:t xml:space="preserve">Key Findings Based on Actual Data:</w:t>
        <w:br/>
        <w:t xml:space="preserve">• House Prices: Cheshire mean £346,936 vs Cumberland £232,642 (t = 31.46, p &lt; 0.001). The 49.1% premium</w:t>
      </w:r>
      <w:r>
        <w:t xml:space="preserve"> in Cheshire is highly significant.</w:t>
        <w:br/>
        <w:t xml:space="preserve">• Broadband: Cheshire 34.4 Mbit/s vs Cumberland 31.9 Mbit/s (t = 10.07, p &lt; 0.001). Statistically significant but practically modest difference of 2.5 Mbit/s.</w:t>
        <w:br/>
        <w:t xml:space="preserve">• Crime: Drug offence rates 0.553 vs 0.445 per 10,000 (t = 3.</w:t>
      </w:r>
      <w:r>
        <w:t xml:space="preserve">58, p &lt; 0.001). Cumberland demonstrates significantly lower crime rates.</w:t>
        <w:br/>
        <w:br/>
        <w:t xml:space="preserve">Sample Sizes: 64,118 house transactions, 17,995 broadband postcodes, 26,459 crime records analysed.</w:t>
        <w:br/>
        <w:br/>
        <w:t xml:space="preserve">Recommendation: For clients prioritising affordability, Carlisle in Cumberland is</w:t>
      </w:r>
      <w:r>
        <w:t xml:space="preserve"> recommended with an overall score of 7.6/10, offering optimal balance across all criteria.</w:t>
        <w:br/>
        <w:br/>
        <w:t xml:space="preserve">Limitations: Town-level correlation analysis limited by small matched sample sizes. Future work should incorporate additional datasets and postcode-level analysis.</w:t>
      </w:r>
      <w:r/>
    </w:p>
    <w:p>
      <w:pPr>
        <w:pBdr/>
        <w:spacing/>
        <w:ind/>
        <w:rPr/>
      </w:pPr>
      <w:r>
        <w:br w:type="page" w:clear="all"/>
      </w:r>
      <w:r/>
    </w:p>
    <w:p>
      <w:pPr>
        <w:pStyle w:val="693"/>
        <w:pBdr/>
        <w:spacing/>
        <w:ind/>
        <w:rPr/>
      </w:pPr>
      <w:r>
        <w:t xml:space="preserve">References</w:t>
      </w:r>
      <w:r/>
    </w:p>
    <w:p>
      <w:pPr>
        <w:pBdr/>
        <w:spacing/>
        <w:ind/>
        <w:rPr/>
      </w:pPr>
      <w:r>
        <w:t xml:space="preserve">Chapman, P., Clinton, J., Kerber, R., Khabaza, T., Reinartz, T., Shearer, C. and Wirth, R. (2000) CRISP-DM 1.0: Step-by-step data mining guide. SPSS Inc.</w:t>
        <w:br/>
        <w:br/>
        <w:t xml:space="preserve">Codd, E.F. (1970) 'A relational model of data for large shared data banks', Communications of the ACM</w:t>
      </w:r>
      <w:r>
        <w:t xml:space="preserve">, 13(6), pp. 377-387.</w:t>
        <w:br/>
        <w:br/>
        <w:t xml:space="preserve">Field, A. (2018) Discovering Statistics Using IBM SPSS Statistics. 5th edn. London: SAGE Publications.</w:t>
        <w:br/>
        <w:br/>
        <w:t xml:space="preserve">Gibbons, S. (2004) 'The costs of urban property crime', The Economic Journal, 114(499), pp. F441-F463.</w:t>
        <w:br/>
        <w:br/>
        <w:t xml:space="preserve">HM Land Registry (2024) P</w:t>
      </w:r>
      <w:r>
        <w:t xml:space="preserve">rice Paid Data. Available at: https://www.gov.uk/government/collections/price-paid-data (Accessed: November 2024).</w:t>
        <w:br/>
        <w:br/>
        <w:t xml:space="preserve">Information Commissioner's Office (2024) Guide to UK GDPR. Available at: https://ico.org.uk/ (Accessed: November 2024).</w:t>
        <w:br/>
        <w:br/>
        <w:t xml:space="preserve">National Archives (</w:t>
      </w:r>
      <w:r>
        <w:t xml:space="preserve">2024) Open Government Licence v3.0. Available at: https://www.nationalarchives.gov.uk/doc/open-government-licence/ (Accessed: November 2024).</w:t>
        <w:br/>
        <w:br/>
        <w:t xml:space="preserve">Office for National Statistics (2024) Postcode Directory and LSOA Lookup. Available at: https://geoportal.statist</w:t>
      </w:r>
      <w:r>
        <w:t xml:space="preserve">ics.gov.uk/ (Accessed: November 2024).</w:t>
        <w:br/>
        <w:br/>
        <w:t xml:space="preserve">Ofcom (2024) Connected Nations Report. Available at: https://www.ofcom.org.uk/research-and-data/ (Accessed: November 2024).</w:t>
        <w:br/>
        <w:br/>
        <w:t xml:space="preserve">Police UK (2024) Street-level Crime Data. Available at: https://data.police.uk/data/ (Acces</w:t>
      </w:r>
      <w:r>
        <w:t xml:space="preserve">sed: November 2024).</w:t>
        <w:br/>
        <w:br/>
        <w:t xml:space="preserve">R Core Team (2024) R: A Language and Environment for Statistical Computing. Vienna: R Foundation for Statistical Computing.</w:t>
        <w:br/>
        <w:br/>
        <w:t xml:space="preserve">Saaty, T.L. (1980) The Analytic Hierarchy Process. New York: McGraw-Hill.</w:t>
        <w:br/>
        <w:br/>
        <w:t xml:space="preserve">Sampson, R.J. (2012) Great America</w:t>
      </w:r>
      <w:r>
        <w:t xml:space="preserve">n City: Chicago and the Enduring Neighborhood Effect. Chicago: University of Chicago Press.</w:t>
        <w:br/>
        <w:br/>
        <w:t xml:space="preserve">Tukey, J.W. (1977) Exploratory Data Analysis. Reading, MA: Addison-Wesley.</w:t>
        <w:br/>
        <w:br/>
        <w:t xml:space="preserve">Wickham, H. (2014) 'Tidy data', Journal of Statistical Software, 59(10), pp. 1-23.</w:t>
        <w:br/>
        <w:br/>
        <w:t xml:space="preserve">Wic</w:t>
      </w:r>
      <w:r>
        <w:t xml:space="preserve">kham, H., Averick, M., Bryan, J., Chang, W., McGowan, L., François, R., Grolemund, G., Hayes, A., Henry, L., Hester, J., Kuhn, M., Pedersen, T., Miller, E., Bache, S., Müller, K., Ooms, J., Robinson, D., Seidel, D., Spinu, V., Takahashi, K., Vaughan, D., W</w:t>
      </w:r>
      <w:r>
        <w:t xml:space="preserve">ilke, C., Woo, K. and Yutani, H. (2019) 'Welcome to the tidyverse', Journal of Open Source Software, 4(43), p. 1686.</w:t>
        <w:br/>
        <w:br/>
        <w:t xml:space="preserve">Wilkinson, M.D. et al. (2016) 'The FAIR Guiding Principles for scientific data management and stewardship', Scientific Data, 3, p. 160018.</w:t>
      </w:r>
      <w:r/>
    </w:p>
    <w:p>
      <w:pPr>
        <w:pBdr/>
        <w:spacing/>
        <w:ind/>
        <w:rPr/>
      </w:pPr>
      <w:r>
        <w:br w:type="page" w:clear="all"/>
      </w:r>
      <w:r/>
    </w:p>
    <w:p>
      <w:pPr>
        <w:pStyle w:val="693"/>
        <w:pBdr/>
        <w:spacing/>
        <w:ind/>
        <w:rPr/>
      </w:pPr>
      <w:r>
        <w:t xml:space="preserve">Appendix: R Code</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2026-01-20T17:59:44Z</dcterms:modified>
  <cp:category/>
</cp:coreProperties>
</file>