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i w:val="0"/>
          <w:color w:val="1F4D78"/>
          <w:sz w:val="24"/>
        </w:rPr>
        <w:t>UNIVERSIDAD NACIONAL DE SAN MARTÍN</w:t>
        <w:br/>
        <w:t>FACULTAD DE INGENIERÍA DE SISTEMAS E INFORMÁTICA</w:t>
        <w:br/>
        <w:t>ESCUELA PROFESIONAL DE INGENIERÍA DE SISTEMAS E INFORMÁTICA</w:t>
      </w:r>
    </w:p>
    <w:p>
      <w:pPr>
        <w:spacing w:before="720"/>
      </w:pPr>
    </w:p>
    <w:p>
      <w:pPr>
        <w:spacing w:after="160"/>
        <w:jc w:val="center"/>
      </w:pPr>
      <w:r>
        <w:rPr>
          <w:rFonts w:ascii="Times New Roman" w:hAnsi="Times New Roman"/>
          <w:b/>
          <w:i w:val="0"/>
          <w:color w:val="1F4D78"/>
          <w:sz w:val="32"/>
        </w:rPr>
        <w:t>DOCUMENTO TÉCNICO Y ESPECIFICACIÓN:</w:t>
        <w:br/>
        <w:t>MÓDULO ADMINISTRATIVO Y GESTIÓN DEL CATÁLOGO</w:t>
      </w:r>
    </w:p>
    <w:p>
      <w:pPr>
        <w:spacing w:after="800"/>
        <w:jc w:val="center"/>
      </w:pPr>
      <w:r>
        <w:rPr>
          <w:rFonts w:ascii="Times New Roman" w:hAnsi="Times New Roman"/>
          <w:b/>
          <w:i w:val="0"/>
          <w:color w:val="2E74B5"/>
          <w:sz w:val="26"/>
        </w:rPr>
        <w:t>SISTEMA WEB LICORERÍA LAS VEGAS</w:t>
      </w:r>
    </w:p>
    <w:p>
      <w:pPr>
        <w:spacing w:before="400" w:after="80" w:line="300" w:lineRule="auto"/>
      </w:pPr>
      <w:r>
        <w:rPr>
          <w:rFonts w:ascii="Times New Roman" w:hAnsi="Times New Roman"/>
          <w:b/>
          <w:i w:val="0"/>
          <w:color w:val="1F4D78"/>
          <w:sz w:val="22"/>
        </w:rPr>
        <w:t>Docente:</w:t>
        <w:br/>
      </w:r>
      <w:r>
        <w:rPr>
          <w:rFonts w:ascii="Times New Roman" w:hAnsi="Times New Roman"/>
          <w:b w:val="0"/>
          <w:i w:val="0"/>
          <w:sz w:val="22"/>
        </w:rPr>
        <w:t>Ing. George Brayam Murrieta Patow</w:t>
        <w:br/>
        <w:br/>
      </w:r>
      <w:r>
        <w:rPr>
          <w:rFonts w:ascii="Times New Roman" w:hAnsi="Times New Roman"/>
          <w:b/>
          <w:i w:val="0"/>
          <w:color w:val="1F4D78"/>
          <w:sz w:val="22"/>
        </w:rPr>
        <w:t>Curso:</w:t>
        <w:br/>
      </w:r>
      <w:r>
        <w:rPr>
          <w:rFonts w:ascii="Times New Roman" w:hAnsi="Times New Roman"/>
          <w:b w:val="0"/>
          <w:i w:val="0"/>
          <w:sz w:val="22"/>
        </w:rPr>
        <w:t>Lenguaje de Programación II</w:t>
        <w:br/>
        <w:br/>
      </w:r>
      <w:r>
        <w:rPr>
          <w:rFonts w:ascii="Times New Roman" w:hAnsi="Times New Roman"/>
          <w:b/>
          <w:i w:val="0"/>
          <w:color w:val="1F4D78"/>
          <w:sz w:val="22"/>
        </w:rPr>
        <w:t>Autores:</w:t>
        <w:br/>
      </w:r>
      <w:r>
        <w:rPr>
          <w:rFonts w:ascii="Times New Roman" w:hAnsi="Times New Roman"/>
          <w:b w:val="0"/>
          <w:i w:val="0"/>
          <w:sz w:val="22"/>
        </w:rPr>
        <w:t>Pinedo Panaifo Saul Bernabé</w:t>
        <w:br/>
        <w:t>Tangoa Tuanama Liu</w:t>
        <w:br/>
        <w:t>Mayta Michue Diego Alonso</w:t>
        <w:br/>
        <w:t>Rios Cumpa César Gabriel</w:t>
        <w:br/>
      </w:r>
    </w:p>
    <w:p>
      <w:pPr>
        <w:spacing w:before="1000"/>
        <w:jc w:val="center"/>
      </w:pPr>
      <w:r>
        <w:rPr>
          <w:rFonts w:ascii="Times New Roman" w:hAnsi="Times New Roman"/>
          <w:b/>
          <w:i w:val="0"/>
          <w:color w:val="1F4D78"/>
          <w:sz w:val="22"/>
        </w:rPr>
        <w:t>TARAPOTO – PERÚ</w:t>
        <w:br/>
        <w:t>2026 - I</w:t>
      </w:r>
    </w:p>
    <w:p>
      <w:r>
        <w:br w:type="page"/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1F4D78"/>
          <w:sz w:val="28"/>
        </w:rPr>
        <w:t>Control de Versiones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Versión</w:t>
            </w:r>
          </w:p>
        </w:tc>
        <w:tc>
          <w:tcPr>
            <w:tcW w:type="dxa" w:w="1584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Fecha</w:t>
            </w:r>
          </w:p>
        </w:tc>
        <w:tc>
          <w:tcPr>
            <w:tcW w:type="dxa" w:w="2160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Autor</w:t>
            </w:r>
          </w:p>
        </w:tc>
        <w:tc>
          <w:tcPr>
            <w:tcW w:type="dxa" w:w="4464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Cambios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0.1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Septiembre 2026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Equipo del proyecto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Primer borrador: problemática, objetivos generales y requerimientos preliminares.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1.0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07/10/2026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Equipo del proyecto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Especificación técnica completa con casos de uso, modelo de datos de 27 tablas y reglas de negocio.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1.1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20/10/2026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Equipo del proyecto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Integración del panel interno administrativo (tablero, pedidos, stock, entregas y reportes) y consola técnica superadmin aislada.</w:t>
            </w:r>
          </w:p>
        </w:tc>
      </w:tr>
      <w:tr>
        <w:tc>
          <w:tcPr>
            <w:tcW w:type="dxa" w:w="115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1.2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23/10/2026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Equipo del proyecto</w:t>
            </w:r>
          </w:p>
        </w:tc>
        <w:tc>
          <w:tcPr>
            <w:tcW w:type="dxa" w:w="446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Implementación interactiva del módulo de catálogo de productos (admin/productos.html y productos.js), CRUD integral con modal &lt;dialog&gt;, validación de stock y precios, y persistencia en cliente.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1F4D78"/>
          <w:sz w:val="28"/>
        </w:rPr>
        <w:t>1. Introducción y Propósito del Módulo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B1A12"/>
          <w:sz w:val="22"/>
        </w:rPr>
        <w:t>El presente documento técnico formaliza el diseño, implementación y operativa del módulo de administración interna del sistema web de Licorería Las Vegas, con especial énfasis en el módulo de gestión integral del catálogo de productos y control de existencias.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B1A12"/>
          <w:sz w:val="22"/>
        </w:rPr>
        <w:t>Tradicionalmente, la administración de catálogos y existencias en plataformas web requiere la configuración de motores de bases de datos relacionales (como MySQL o PostgreSQL) y servidores de aplicaciones en el backend. Sin embargo, para responder a las necesidades de inmediatez, ligereza y costo operativo cero en fases preliminares y de demostración, el sistema implementa una arquitectura reactiva 100% frontend construida exclusivamente en HTML5 semántico, CSS3 modular y JavaScript puro (Vanilla JS), garantizando la completa manipulación del catálogo sin dependencias complejas.</w:t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1F4D78"/>
          <w:sz w:val="28"/>
        </w:rPr>
        <w:t>2. Arquitectura de la Solución y Persistencia sin Base de Datos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B1A12"/>
          <w:sz w:val="22"/>
        </w:rPr>
        <w:t>La solución adopta un patrón de datos desacoplado que opera de manera transparente tanto en entornos de desarrollo local (servidor Apache de XAMPP o servidor HTTP básico de Python) como en producción: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Carga Inicial Desacoplada: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Todos los artículos, categorías, usuarios y pedidos se inicializan desde archivos JSON estructurados de lectura nativa (datos/productos.json, datos/usuarios.json y datos/pedidos.json).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Persistencia Reactiva en Cliente: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Los cambios realizados por los administradores (creación de nuevos productos, actualización de precios, ajuste de existencias y altas/bajas de catálogo) se procesan en la capa de ejecución y se sincronizan reactivamente en el almacenamiento del navegador (localStorage / sessionStorage / memoria dinámica).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Sincronización Transparente con la Tienda Pública: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Al realizar modificaciones desde el panel administrativo, el catálogo público para el cliente (paginas/catalogo.html, ficha de producto y flujo de compra) consulta y consume directamente los datos actualizados sin requerir reinicio de servidor.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Exportación y Portabilidad: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El administrador dispone de funciones de exportación para descargar el catálogo consolidado en formato JSON estructurado, permitiendo actualizar permanentemente la fuente original en disco si se requiere replicar entre dispositivos.</w:t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1F4D78"/>
          <w:sz w:val="28"/>
        </w:rPr>
        <w:t>3. Especificación del Módulo de Gestión de Catálogo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B1A12"/>
          <w:sz w:val="22"/>
        </w:rPr>
        <w:t>El gestor de productos se encuentra implementado en la interfaz admin/productos.html respaldado por la lógica de control en assets/js/admin/productos.js. Atiende directamente los requerimientos funcionales RF38 (Gestión de productos y categorías) y RF40 (Alertas de stock).</w:t>
      </w:r>
    </w:p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2E74B5"/>
          <w:sz w:val="24"/>
        </w:rPr>
        <w:t>3.1 Funcionalidades del Módulo (CRUD Completo)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Visualización y Listado General: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Presenta el inventario completo organizado en una tabla estructurada con nombre del producto, marca, presentación, categoría asociada, precio de venta formateado en moneda nacional (S/ 0.00), cantidad en stock y estado de disponibilidad visual.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Búsqueda Dinámica Multicriterio: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Campo de búsqueda con filtrado en tiempo real que evalúa simultáneamente el nombre del producto, la marca registrada y el nombre legible de la categoría, aplicando normalización de tildes y omisión de mayúsculas.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Alta de Productos (Create):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Botón de acción principal que despliega un formulario modal nativo (&lt;dialog&gt;) con validación de campos para la incorporación inmediata de un nuevo artículo al catálogo.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Modificación de Productos (Update):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Botón individual por fila que precarga el formulario con los datos actuales del producto seleccionado, permitiendo modificar cualquiera de sus atributos.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Confirmación y Notificaciones: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Los cambios confirmados actualizan de inmediato la tabla visual, el contador total de productos y el almacenamiento local.</w:t>
      </w:r>
    </w:p>
    <w:p>
      <w:pPr>
        <w:keepNext/>
        <w:spacing w:before="240" w:after="80"/>
      </w:pPr>
      <w:r>
        <w:rPr>
          <w:rFonts w:ascii="Times New Roman" w:hAnsi="Times New Roman"/>
          <w:b/>
          <w:i w:val="0"/>
          <w:color w:val="2E74B5"/>
          <w:sz w:val="24"/>
        </w:rPr>
        <w:t>3.2 Atributos del Producto y Validación de Entradas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B1A12"/>
          <w:sz w:val="22"/>
        </w:rPr>
        <w:t>A continuación se especifican las reglas de validación aplicadas en el formulario: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Campo</w:t>
            </w:r>
          </w:p>
        </w:tc>
        <w:tc>
          <w:tcPr>
            <w:tcW w:type="dxa" w:w="1584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Tipo</w:t>
            </w:r>
          </w:p>
        </w:tc>
        <w:tc>
          <w:tcPr>
            <w:tcW w:type="dxa" w:w="1440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Requerido</w:t>
            </w:r>
          </w:p>
        </w:tc>
        <w:tc>
          <w:tcPr>
            <w:tcW w:type="dxa" w:w="4608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Regla de Validación / Restricción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Código ID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Texto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Automático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Generación correlativa (ej. p017, p018) preservando unicidad.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Nombre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Texto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Obligatorio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Mínimo 3 caracteres alfanuméricos. Nombre comercial claro.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Categoría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Selección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Obligatorio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Debe pertenecer a una de las categorías válidas (cervezas, licores, etc.).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Marca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Texto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Opcional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Marca del fabricante (ej. Cusqueña, Cartavio, Johnnie Walker).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Presentación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Texto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Opcional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Unidad de empaque o volumen (ej. Botella de 750 ml, Pack 6 latas).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Precio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Obligatorio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Valor numérico mayor a cero. Se formatea a 2 decimales (S/ 0.00).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Stock actual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Entero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Obligatorio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Número entero mayor o igual a cero.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Stock mínimo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Entero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Obligatorio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Umbral entero para disparo de advertencia de reposición.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Destacado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Booleano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Opcional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Indica si el producto se promociona en la portada (index.html).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Descripción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Texto largo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Opcional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Texto descriptivo para la ficha de detalle del producto.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1F4D78"/>
          <w:sz w:val="28"/>
        </w:rPr>
        <w:t>4. Módulo de Control de Inventario y Stock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B1A12"/>
          <w:sz w:val="22"/>
        </w:rPr>
        <w:t>Complementando la gestión de productos, la pantalla admin/stock.html y el script assets/js/admin/stock.js proporcionan un tablero focalizado en la disponibilidad de existencias: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Estado "Disponible" (Insignia Verde):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Indica que el producto cuenta con unidades suficientes para la venta por encima del umbral mínimo configurado.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Estado "Pocas unidades" (Insignia Ámbar):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Se activa automáticamente cuando el stock disponible es menor o igual al stock mínimo definido por el administrador, alertando la necesidad de realizar compras al proveedor.</w:t>
      </w:r>
    </w:p>
    <w:p>
      <w:pPr>
        <w:pStyle w:val="ListParagraph"/>
        <w:spacing w:before="0" w:after="60" w:line="276" w:lineRule="auto"/>
      </w:pPr>
      <w:r>
        <w:rPr>
          <w:rFonts w:ascii="Times New Roman" w:hAnsi="Times New Roman"/>
          <w:b/>
          <w:i w:val="0"/>
          <w:color w:val="2B1A12"/>
          <w:sz w:val="22"/>
        </w:rPr>
        <w:t>Estado "Agotado" (Insignia Roja):</w:t>
      </w:r>
      <w:r>
        <w:rPr>
          <w:rFonts w:ascii="Times New Roman" w:hAnsi="Times New Roman"/>
          <w:b w:val="0"/>
          <w:i w:val="0"/>
          <w:color w:val="2B1A12"/>
          <w:sz w:val="22"/>
        </w:rPr>
        <w:t xml:space="preserve"> Se activa cuando el stock llega a 0 unidades. Bloquea automáticamente la opción de compra en el catálogo público e inhabilita el botón de agregar al carrito.</w:t>
      </w:r>
    </w:p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1F4D78"/>
          <w:sz w:val="28"/>
        </w:rPr>
        <w:t>5. Matriz de Roles y Niveles de Acceso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B1A12"/>
          <w:sz w:val="22"/>
        </w:rPr>
        <w:t>El sistema implementa una matriz de perfiles orientada a la separación de responsabilidades dentro de la tienda, validada en cada carga mediante el script central de sesión (assets/js/admin/sesion.js) y la barra lateral de navegación (assets/js/admin/panel.js):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Rol</w:t>
            </w:r>
          </w:p>
        </w:tc>
        <w:tc>
          <w:tcPr>
            <w:tcW w:type="dxa" w:w="2160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Pantalla de Inicio</w:t>
            </w:r>
          </w:p>
        </w:tc>
        <w:tc>
          <w:tcPr>
            <w:tcW w:type="dxa" w:w="2160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Módulos Permitidos</w:t>
            </w:r>
          </w:p>
        </w:tc>
        <w:tc>
          <w:tcPr>
            <w:tcW w:type="dxa" w:w="3168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Restricciones Principales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Administrador (admin)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admin/index.html (Tablero)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Tablero, Pedidos, Productos, Stock, Reportes.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Sin acceso a la consola de gobierno SaaS.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Encargado (encargado)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admin/pedidos.html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Tablero, Pedidos, Stock.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Sin acceso a edición de catálogo ni reportes.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Repartidor (repartidor)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admin/entregas.html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Exclusivamente entregas asignadas.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Sin acceso a gestión comercial ni inventario.</w:t>
            </w:r>
          </w:p>
        </w:tc>
      </w:tr>
      <w:tr>
        <w:tc>
          <w:tcPr>
            <w:tcW w:type="dxa" w:w="187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Superadmin (dev)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9"/>
              </w:rPr>
              <w:t>admin/superadmin.html</w:t>
            </w:r>
          </w:p>
        </w:tc>
        <w:tc>
          <w:tcPr>
            <w:tcW w:type="dxa" w:w="216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Consola técnica, diagnóstico y multitenant.</w:t>
            </w:r>
          </w:p>
        </w:tc>
        <w:tc>
          <w:tcPr>
            <w:tcW w:type="dxa" w:w="316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9"/>
              </w:rPr>
              <w:t>Aislado de operaciones comerciales de la tienda.</w:t>
            </w:r>
          </w:p>
        </w:tc>
      </w:tr>
    </w:tbl>
    <w:p>
      <w:pPr>
        <w:keepNext/>
        <w:spacing w:before="280" w:after="120"/>
      </w:pPr>
      <w:r>
        <w:rPr>
          <w:rFonts w:ascii="Times New Roman" w:hAnsi="Times New Roman"/>
          <w:b/>
          <w:i w:val="0"/>
          <w:color w:val="1F4D78"/>
          <w:sz w:val="28"/>
        </w:rPr>
        <w:t>6. Registro Cronológico de Modificaciones y Trazabilidad</w:t>
      </w:r>
    </w:p>
    <w:p>
      <w:pPr>
        <w:spacing w:before="0" w:after="80" w:line="276" w:lineRule="auto"/>
      </w:pPr>
      <w:r>
        <w:rPr>
          <w:rFonts w:ascii="Times New Roman" w:hAnsi="Times New Roman"/>
          <w:b w:val="0"/>
          <w:i w:val="0"/>
          <w:color w:val="2B1A12"/>
          <w:sz w:val="22"/>
        </w:rPr>
        <w:t>En estricto cumplimiento de la directiva obligatoria establecida en AGENTS.md, a continuación se consolida la bitácora de los cambios técnicos ejecutados en la arquitectura del proyecto: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28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Fecha / Hora</w:t>
            </w:r>
          </w:p>
        </w:tc>
        <w:tc>
          <w:tcPr>
            <w:tcW w:type="dxa" w:w="3312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Archivos Afectados</w:t>
            </w:r>
          </w:p>
        </w:tc>
        <w:tc>
          <w:tcPr>
            <w:tcW w:type="dxa" w:w="4320"/>
            <w:shd w:fill="EBF1F5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color w:val="1F4D78"/>
                <w:sz w:val="20"/>
              </w:rPr>
              <w:t>Descripción y Justificación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2026-10-23 14:55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admin/productos.html</w:t>
              <w:br/>
              <w:t>assets/js/admin/productos.js</w:t>
              <w:br/>
              <w:t>admin/stock.html</w:t>
              <w:br/>
              <w:t>assets/js/admin/stock.js</w:t>
              <w:br/>
              <w:t>CHANGELOG.md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Implementación del módulo integral de gestión de catálogo de productos (CRUD con validación y modal nativo &lt;dialog&gt;), control visual de stock y documentación de auditoría.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2026-10-20 16:05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admin/superadmin.html</w:t>
              <w:br/>
              <w:t>assets/js/admin/superadmin.js</w:t>
              <w:br/>
              <w:t>assets/js/admin/panel.js</w:t>
              <w:br/>
              <w:t>admin/pedidos.html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Aislamiento estricto de la consola Superadmin (gobierno de plataforma multitenant) respecto a las ventas, stock y pedidos operativos de la licorería.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2026-10-20 15:15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assets/js/admin/sesion.js</w:t>
              <w:br/>
              <w:t>assets/js/admin/panel.js</w:t>
              <w:br/>
              <w:t>admin/reportes.html</w:t>
              <w:br/>
              <w:t>admin/index.html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Restricción de reportes financieros y tableros comerciales para el perfil desarrollador en resguardo de la confidencialidad comercial del negocio.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2026-10-20 00:00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admin/superadmin.html</w:t>
              <w:br/>
              <w:t>assets/js/admin/superadmin.js</w:t>
              <w:br/>
              <w:t>datos/usuarios.json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Creación de la consola técnica de desarrollador con inyector de pedidos sintéticos, pruebas de estrés y diagnósticos de salud JSON.</w:t>
            </w:r>
          </w:p>
        </w:tc>
      </w:tr>
      <w:tr>
        <w:tc>
          <w:tcPr>
            <w:tcW w:type="dxa" w:w="1728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2026-10-19 11:55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admin/* (8 páginas HTML)</w:t>
              <w:br/>
              <w:t>assets/js/admin/* (10 scripts)</w:t>
              <w:br/>
              <w:t>assets/css/admin.css</w:t>
            </w:r>
          </w:p>
        </w:tc>
        <w:tc>
          <w:tcPr>
            <w:tcW w:type="dxa" w:w="4320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r>
              <w:rPr>
                <w:rFonts w:ascii="Times New Roman" w:hAnsi="Times New Roman"/>
                <w:b w:val="0"/>
                <w:i w:val="0"/>
                <w:sz w:val="18"/>
              </w:rPr>
              <w:t>Integración inicial de la rama panel-interno: sistema de gestión multirrol con tablero, bandeja de pedidos, hoja de entregas, reportes y catálogo.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