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Protos Farm — Fase 5: Compliance, Fiscal e Integrações Governamentais</w:t>
      </w:r>
    </w:p>
    <w:p>
      <w:pPr>
        <w:spacing w:after="120" w:before="0"/>
        <w:jc w:val="both"/>
      </w:pPr>
      <w:r>
        <w:rPr>
          <w:rFonts w:ascii="Arial" w:cs="Arial" w:eastAsia="Arial" w:hAnsi="Arial"/>
          <w:b/>
          <w:bCs/>
          <w:color w:val="1A1A1A"/>
          <w:sz w:val="21"/>
          <w:szCs w:val="21"/>
        </w:rPr>
        <w:t xml:space="preserve">User Stories Detalhadas | </w:t>
      </w:r>
      <w:r>
        <w:rPr>
          <w:rFonts w:ascii="Arial" w:cs="Arial" w:eastAsia="Arial" w:hAnsi="Arial"/>
          <w:color w:val="2E7D32"/>
          <w:sz w:val="21"/>
          <w:szCs w:val="21"/>
        </w:rPr>
        <w:t xml:space="preserve">17 stories | 168 story points</w:t>
      </w:r>
    </w:p>
    <w:p>
      <w:pPr>
        <w:spacing w:after="100"/>
      </w:pPr>
    </w:p>
    <w:p>
      <w:pPr>
        <w:spacing w:after="120" w:before="0"/>
        <w:jc w:val="both"/>
      </w:pPr>
      <w:r>
        <w:rPr>
          <w:rFonts w:ascii="Arial" w:cs="Arial" w:eastAsia="Arial" w:hAnsi="Arial"/>
          <w:b w:val="false"/>
          <w:bCs w:val="false"/>
          <w:i w:val="false"/>
          <w:iCs w:val="false"/>
          <w:color w:val="1A1A1A"/>
          <w:sz w:val="21"/>
          <w:szCs w:val="21"/>
        </w:rPr>
        <w:t xml:space="preserve">Este documento detalha as user stories da Fase 5 do Protos Farm, cobrindo funcionalidades de Compliance e Integrações Governamentais planejadas para os meses 16 a 20. A Fase 5 endereça as obrigações fiscais e regulatórias que são pré-requisito para produtores rurais médios e grandes operarem formalmente: emissão de NF-e de saída e importação de NF-e de entrada integradas com SEFAZ, MDF-e para transporte, LCDPR automático para declaração de imposto de renda, gestão de ITR e imóveis rurais, CAR e licenciamento ambiental, GTA digital com integração a órgãos de defesa sanitária, rastreabilidade SISBOV para exportação, certificações (Rainforest Alliance, GlobalG.A.P., UTZ), ESG com cálculo de emissões de GEE e logística reversa de embalagens, telemetria básica de máquinas agrícolas, irrigação avançada com sensores e balanço hídrico, exportação contábil para escritórios de contabilidade, e comercialização avançada com book de vendas, fixação de preços e expedição desacoplada. As funcionalidades foram priorizadas com base na análise de mercado (Aegro oferece NF-e/MDF-e gratuitos; +Gestão oferece LCDPR e SPED; concorrentes internacionais como AGRIVI oferecem módulos ESG) e nas obrigações legais do produtor rural brasileiro.</w:t>
      </w:r>
    </w:p>
    <w:p>
      <w:pPr>
        <w:spacing w:after="150"/>
      </w:pPr>
    </w:p>
    <w:p>
      <w:pPr>
        <w:pStyle w:val="Heading2"/>
      </w:pPr>
      <w:r>
        <w:t xml:space="preserve">EPIC-F5-01: Emissão de NF-e Produtor Rural e NFC-e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000"/>
        <w:gridCol w:w="900"/>
        <w:gridCol w:w="1500"/>
      </w:tblGrid>
      <w:tr>
        <w:tc>
          <w:tcPr>
            <w:tcW w:type="dxa" w:w="12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w:t>
            </w:r>
          </w:p>
        </w:tc>
        <w:tc>
          <w:tcPr>
            <w:tcW w:type="dxa" w:w="10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1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Dependências</w:t>
            </w:r>
          </w:p>
        </w:tc>
      </w:tr>
      <w:tr>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US-F501</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Emissão de NF-e de saída para produtos agropecuários</w:t>
            </w:r>
          </w:p>
        </w:tc>
        <w:tc>
          <w:tcPr>
            <w:tcW w:type="dxa" w:w="10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21</w:t>
            </w:r>
          </w:p>
        </w:tc>
        <w:tc>
          <w:tcPr>
            <w:tcW w:type="dxa" w:w="1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1-4</w:t>
            </w:r>
          </w:p>
        </w:tc>
      </w:tr>
      <w:tr>
        <w:tc>
          <w:tcPr>
            <w:tcW w:type="dxa" w:w="12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US-F502</w:t>
            </w:r>
          </w:p>
        </w:tc>
        <w:tc>
          <w:tcPr>
            <w:tcW w:type="dxa" w:w="47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Importação de NF-e de entrada (XML)</w:t>
            </w:r>
          </w:p>
        </w:tc>
        <w:tc>
          <w:tcPr>
            <w:tcW w:type="dxa" w:w="10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1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1-4</w:t>
            </w:r>
          </w:p>
        </w:tc>
      </w:tr>
      <w:tr>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US-F503</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Emissão de MDF-e (Manifesto Eletrônico de Documentos Fiscais)</w:t>
            </w:r>
          </w:p>
        </w:tc>
        <w:tc>
          <w:tcPr>
            <w:tcW w:type="dxa" w:w="10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1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1-4</w:t>
            </w:r>
          </w:p>
        </w:tc>
      </w:tr>
    </w:tbl>
    <w:p>
      <w:pPr>
        <w:spacing w:after="150"/>
      </w:pPr>
    </w:p>
    <w:p>
      <w:pPr>
        <w:pStyle w:val="Heading2"/>
      </w:pPr>
      <w:r>
        <w:t xml:space="preserve">EPIC-F5-02: LCDPR e Obrigações Fiscais do Produtor Rural PF</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000"/>
        <w:gridCol w:w="900"/>
        <w:gridCol w:w="1500"/>
      </w:tblGrid>
      <w:tr>
        <w:tc>
          <w:tcPr>
            <w:tcW w:type="dxa" w:w="12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w:t>
            </w:r>
          </w:p>
        </w:tc>
        <w:tc>
          <w:tcPr>
            <w:tcW w:type="dxa" w:w="10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1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Dependências</w:t>
            </w:r>
          </w:p>
        </w:tc>
      </w:tr>
      <w:tr>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US-F504</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Geração automática do LCDPR</w:t>
            </w:r>
          </w:p>
        </w:tc>
        <w:tc>
          <w:tcPr>
            <w:tcW w:type="dxa" w:w="10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1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1-4</w:t>
            </w:r>
          </w:p>
        </w:tc>
      </w:tr>
      <w:tr>
        <w:tc>
          <w:tcPr>
            <w:tcW w:type="dxa" w:w="12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US-F505</w:t>
            </w:r>
          </w:p>
        </w:tc>
        <w:tc>
          <w:tcPr>
            <w:tcW w:type="dxa" w:w="47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Gestão de ITR e imóveis rurais</w:t>
            </w:r>
          </w:p>
        </w:tc>
        <w:tc>
          <w:tcPr>
            <w:tcW w:type="dxa" w:w="10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1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1-4</w:t>
            </w:r>
          </w:p>
        </w:tc>
      </w:tr>
    </w:tbl>
    <w:p>
      <w:pPr>
        <w:spacing w:after="150"/>
      </w:pPr>
    </w:p>
    <w:p>
      <w:pPr>
        <w:pStyle w:val="Heading2"/>
      </w:pPr>
      <w:r>
        <w:t xml:space="preserve">EPIC-F5-03: Gestão CAR, Ambiental e Licenciamento</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000"/>
        <w:gridCol w:w="900"/>
        <w:gridCol w:w="1500"/>
      </w:tblGrid>
      <w:tr>
        <w:tc>
          <w:tcPr>
            <w:tcW w:type="dxa" w:w="12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w:t>
            </w:r>
          </w:p>
        </w:tc>
        <w:tc>
          <w:tcPr>
            <w:tcW w:type="dxa" w:w="10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1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Dependências</w:t>
            </w:r>
          </w:p>
        </w:tc>
      </w:tr>
      <w:tr>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US-F506</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Gestão do CAR e sobreposição com áreas produtivas</w:t>
            </w:r>
          </w:p>
        </w:tc>
        <w:tc>
          <w:tcPr>
            <w:tcW w:type="dxa" w:w="10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1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1-4</w:t>
            </w:r>
          </w:p>
        </w:tc>
      </w:tr>
      <w:tr>
        <w:tc>
          <w:tcPr>
            <w:tcW w:type="dxa" w:w="12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US-F507</w:t>
            </w:r>
          </w:p>
        </w:tc>
        <w:tc>
          <w:tcPr>
            <w:tcW w:type="dxa" w:w="47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Controle de licenças ambientais e outorgas</w:t>
            </w:r>
          </w:p>
        </w:tc>
        <w:tc>
          <w:tcPr>
            <w:tcW w:type="dxa" w:w="10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1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1-4</w:t>
            </w:r>
          </w:p>
        </w:tc>
      </w:tr>
    </w:tbl>
    <w:p>
      <w:pPr>
        <w:spacing w:after="150"/>
      </w:pPr>
    </w:p>
    <w:p>
      <w:pPr>
        <w:pStyle w:val="Heading2"/>
      </w:pPr>
      <w:r>
        <w:t xml:space="preserve">EPIC-F5-04: GTA Digital e Rastreabilidade Animal (SISBOV)</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000"/>
        <w:gridCol w:w="900"/>
        <w:gridCol w:w="1500"/>
      </w:tblGrid>
      <w:tr>
        <w:tc>
          <w:tcPr>
            <w:tcW w:type="dxa" w:w="12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w:t>
            </w:r>
          </w:p>
        </w:tc>
        <w:tc>
          <w:tcPr>
            <w:tcW w:type="dxa" w:w="10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1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Dependências</w:t>
            </w:r>
          </w:p>
        </w:tc>
      </w:tr>
      <w:tr>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US-F508</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Emissão e gestão de GTA (Guia de Trânsito Animal)</w:t>
            </w:r>
          </w:p>
        </w:tc>
        <w:tc>
          <w:tcPr>
            <w:tcW w:type="dxa" w:w="10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1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1-4</w:t>
            </w:r>
          </w:p>
        </w:tc>
      </w:tr>
      <w:tr>
        <w:tc>
          <w:tcPr>
            <w:tcW w:type="dxa" w:w="12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US-F509</w:t>
            </w:r>
          </w:p>
        </w:tc>
        <w:tc>
          <w:tcPr>
            <w:tcW w:type="dxa" w:w="47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Rastreabilidade SISBOV e certificação para exportação</w:t>
            </w:r>
          </w:p>
        </w:tc>
        <w:tc>
          <w:tcPr>
            <w:tcW w:type="dxa" w:w="10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1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1-4</w:t>
            </w:r>
          </w:p>
        </w:tc>
      </w:tr>
    </w:tbl>
    <w:p>
      <w:pPr>
        <w:spacing w:after="150"/>
      </w:pPr>
    </w:p>
    <w:p>
      <w:pPr>
        <w:pStyle w:val="Heading2"/>
      </w:pPr>
      <w:r>
        <w:t xml:space="preserve">EPIC-F5-05: Gestão de Certificações e Auditorias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000"/>
        <w:gridCol w:w="900"/>
        <w:gridCol w:w="1500"/>
      </w:tblGrid>
      <w:tr>
        <w:tc>
          <w:tcPr>
            <w:tcW w:type="dxa" w:w="12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w:t>
            </w:r>
          </w:p>
        </w:tc>
        <w:tc>
          <w:tcPr>
            <w:tcW w:type="dxa" w:w="10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1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Dependências</w:t>
            </w:r>
          </w:p>
        </w:tc>
      </w:tr>
      <w:tr>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US-F510</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Workflows de certificação e auditorias internas</w:t>
            </w:r>
          </w:p>
        </w:tc>
        <w:tc>
          <w:tcPr>
            <w:tcW w:type="dxa" w:w="10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1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1-4</w:t>
            </w:r>
          </w:p>
        </w:tc>
      </w:tr>
    </w:tbl>
    <w:p>
      <w:pPr>
        <w:spacing w:after="150"/>
      </w:pPr>
    </w:p>
    <w:p>
      <w:pPr>
        <w:pStyle w:val="Heading2"/>
      </w:pPr>
      <w:r>
        <w:t xml:space="preserve">EPIC-F5-06: Rastreabilidade ESG e Sustentabilidade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000"/>
        <w:gridCol w:w="900"/>
        <w:gridCol w:w="1500"/>
      </w:tblGrid>
      <w:tr>
        <w:tc>
          <w:tcPr>
            <w:tcW w:type="dxa" w:w="12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w:t>
            </w:r>
          </w:p>
        </w:tc>
        <w:tc>
          <w:tcPr>
            <w:tcW w:type="dxa" w:w="10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1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Dependências</w:t>
            </w:r>
          </w:p>
        </w:tc>
      </w:tr>
      <w:tr>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US-F511</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Cálculo de emissões de GEE e pegada de carbono</w:t>
            </w:r>
          </w:p>
        </w:tc>
        <w:tc>
          <w:tcPr>
            <w:tcW w:type="dxa" w:w="10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1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1-4</w:t>
            </w:r>
          </w:p>
        </w:tc>
      </w:tr>
      <w:tr>
        <w:tc>
          <w:tcPr>
            <w:tcW w:type="dxa" w:w="12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US-F512</w:t>
            </w:r>
          </w:p>
        </w:tc>
        <w:tc>
          <w:tcPr>
            <w:tcW w:type="dxa" w:w="47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Logística reversa de embalagens e gestão de resíduos</w:t>
            </w:r>
          </w:p>
        </w:tc>
        <w:tc>
          <w:tcPr>
            <w:tcW w:type="dxa" w:w="10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1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1-4</w:t>
            </w:r>
          </w:p>
        </w:tc>
      </w:tr>
    </w:tbl>
    <w:p>
      <w:pPr>
        <w:spacing w:after="150"/>
      </w:pPr>
    </w:p>
    <w:p>
      <w:pPr>
        <w:pStyle w:val="Heading2"/>
      </w:pPr>
      <w:r>
        <w:t xml:space="preserve">EPIC-F5-07: Telemetria Básica e Rastreamento de Máquinas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000"/>
        <w:gridCol w:w="900"/>
        <w:gridCol w:w="1500"/>
      </w:tblGrid>
      <w:tr>
        <w:tc>
          <w:tcPr>
            <w:tcW w:type="dxa" w:w="12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w:t>
            </w:r>
          </w:p>
        </w:tc>
        <w:tc>
          <w:tcPr>
            <w:tcW w:type="dxa" w:w="10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1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Dependências</w:t>
            </w:r>
          </w:p>
        </w:tc>
      </w:tr>
      <w:tr>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US-F513</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Rastreamento GPS e telemetria básica de máquinas agrícolas</w:t>
            </w:r>
          </w:p>
        </w:tc>
        <w:tc>
          <w:tcPr>
            <w:tcW w:type="dxa" w:w="10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1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1-4</w:t>
            </w:r>
          </w:p>
        </w:tc>
      </w:tr>
    </w:tbl>
    <w:p>
      <w:pPr>
        <w:spacing w:after="150"/>
      </w:pPr>
    </w:p>
    <w:p>
      <w:pPr>
        <w:pStyle w:val="Heading2"/>
      </w:pPr>
      <w:r>
        <w:t xml:space="preserve">EPIC-F5-08: Gestão de Irrigação Avançada</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000"/>
        <w:gridCol w:w="900"/>
        <w:gridCol w:w="1500"/>
      </w:tblGrid>
      <w:tr>
        <w:tc>
          <w:tcPr>
            <w:tcW w:type="dxa" w:w="12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w:t>
            </w:r>
          </w:p>
        </w:tc>
        <w:tc>
          <w:tcPr>
            <w:tcW w:type="dxa" w:w="10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1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Dependências</w:t>
            </w:r>
          </w:p>
        </w:tc>
      </w:tr>
      <w:tr>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US-F514</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Controle de irrigação com sensores e balanço hídrico</w:t>
            </w:r>
          </w:p>
        </w:tc>
        <w:tc>
          <w:tcPr>
            <w:tcW w:type="dxa" w:w="10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1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1-4</w:t>
            </w:r>
          </w:p>
        </w:tc>
      </w:tr>
    </w:tbl>
    <w:p>
      <w:pPr>
        <w:spacing w:after="150"/>
      </w:pPr>
    </w:p>
    <w:p>
      <w:pPr>
        <w:pStyle w:val="Heading2"/>
      </w:pPr>
      <w:r>
        <w:t xml:space="preserve">EPIC-F5-09: Exportação Contábil e Integração com Escritórios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000"/>
        <w:gridCol w:w="900"/>
        <w:gridCol w:w="1500"/>
      </w:tblGrid>
      <w:tr>
        <w:tc>
          <w:tcPr>
            <w:tcW w:type="dxa" w:w="12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w:t>
            </w:r>
          </w:p>
        </w:tc>
        <w:tc>
          <w:tcPr>
            <w:tcW w:type="dxa" w:w="10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1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Dependências</w:t>
            </w:r>
          </w:p>
        </w:tc>
      </w:tr>
      <w:tr>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US-F515</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Exportação de dados para sistemas contábeis de terceiros</w:t>
            </w:r>
          </w:p>
        </w:tc>
        <w:tc>
          <w:tcPr>
            <w:tcW w:type="dxa" w:w="10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1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1-4</w:t>
            </w:r>
          </w:p>
        </w:tc>
      </w:tr>
    </w:tbl>
    <w:p>
      <w:pPr>
        <w:spacing w:after="150"/>
      </w:pPr>
    </w:p>
    <w:p>
      <w:pPr>
        <w:pStyle w:val="Heading2"/>
      </w:pPr>
      <w:r>
        <w:t xml:space="preserve">EPIC-F5-10: Comercialização Avançada e Logística de Entrega</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000"/>
        <w:gridCol w:w="900"/>
        <w:gridCol w:w="1500"/>
      </w:tblGrid>
      <w:tr>
        <w:tc>
          <w:tcPr>
            <w:tcW w:type="dxa" w:w="12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w:t>
            </w:r>
          </w:p>
        </w:tc>
        <w:tc>
          <w:tcPr>
            <w:tcW w:type="dxa" w:w="10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1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Dependências</w:t>
            </w:r>
          </w:p>
        </w:tc>
      </w:tr>
      <w:tr>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US-F516</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Book de vendas e fixação de preço de commodities</w:t>
            </w:r>
          </w:p>
        </w:tc>
        <w:tc>
          <w:tcPr>
            <w:tcW w:type="dxa" w:w="10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1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1-4</w:t>
            </w:r>
          </w:p>
        </w:tc>
      </w:tr>
      <w:tr>
        <w:tc>
          <w:tcPr>
            <w:tcW w:type="dxa" w:w="12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US-F517</w:t>
            </w:r>
          </w:p>
        </w:tc>
        <w:tc>
          <w:tcPr>
            <w:tcW w:type="dxa" w:w="47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Expedição e entrega com fluxo desacoplado NF × entrega física</w:t>
            </w:r>
          </w:p>
        </w:tc>
        <w:tc>
          <w:tcPr>
            <w:tcW w:type="dxa" w:w="10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1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iCs/>
                <w:color w:val="888888"/>
                <w:sz w:val="17"/>
                <w:szCs w:val="17"/>
              </w:rPr>
              <w:t xml:space="preserve">Fases 1-4</w:t>
            </w:r>
          </w:p>
        </w:tc>
      </w:tr>
    </w:tbl>
    <w:p>
      <w:pPr>
        <w:spacing w:after="150"/>
      </w:pPr>
    </w:p>
    <w:p>
      <w:r>
        <w:br w:type="page"/>
      </w:r>
    </w:p>
    <w:p>
      <w:pPr>
        <w:pStyle w:val="Heading2"/>
      </w:pPr>
      <w:r>
        <w:t xml:space="preserve">EPIC-F5-01: Emissão de NF-e Produtor Rural e NFC-e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700"/>
        <w:gridCol w:w="500"/>
        <w:gridCol w:w="476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2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 / Descrição</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US-F501</w:t>
            </w:r>
          </w:p>
        </w:tc>
        <w:tc>
          <w:tcPr>
            <w:tcW w:type="dxa" w:w="27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Emissão de NF-e de saída para produtos agropecuários</w:t>
            </w:r>
          </w:p>
          <w:p>
            <w:pPr>
              <w:spacing w:after="30"/>
            </w:pPr>
            <w:r>
              <w:rPr>
                <w:rFonts w:ascii="Arial" w:cs="Arial" w:eastAsia="Arial" w:hAnsi="Arial"/>
                <w:i/>
                <w:iCs/>
                <w:color w:val="1A1A1A"/>
                <w:sz w:val="17"/>
                <w:szCs w:val="17"/>
              </w:rPr>
              <w:t>Como produtor rural ou gerente administrativo, quero emitir NF-e de saída diretamente pelo sistema para vendas de grãos, café, leite, gado e outros produtos agropecuários, para eu não dependa de sistemas fiscais externos, tenha integração automática com contas a receber e contabilidade e cumpra as obrigações fiscais sem retrabalho</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21</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Emissão de NF-e modelo 55 integrada com SEFAZ via Web Service (ambiente de homologação e produção). Certificado digital A1 ou A3 do produtor rural (upload e gestão no sistema com alerta de vencimento)</w:t>
            </w:r>
          </w:p>
          <w:p>
            <w:pPr>
              <w:spacing w:after="30"/>
            </w:pPr>
            <w:r>
              <w:rPr>
                <w:rFonts w:ascii="Arial" w:cs="Arial" w:eastAsia="Arial" w:hAnsi="Arial"/>
                <w:color w:val="1A1A1A"/>
                <w:sz w:val="17"/>
                <w:szCs w:val="17"/>
              </w:rPr>
              <w:t xml:space="preserve">☐ Configuração fiscal por produtor: regime tributário (produtor PF com IE, PJ Simples/Lucro Presumido/Lucro Real), inscrição estadual (múltiplas IEs por produtor — US-FN08), CFOP padrão por tipo de operação (venda interna, interestadual, exportação, remessa para beneficiamento, devolução, transferência), CST/CSOSN, base de cálculo e alíquota de ICMS (tabela por UF de destino × produto — pré-carregada e editável)</w:t>
            </w:r>
          </w:p>
          <w:p>
            <w:pPr>
              <w:spacing w:after="30"/>
            </w:pPr>
            <w:r>
              <w:rPr>
                <w:rFonts w:ascii="Arial" w:cs="Arial" w:eastAsia="Arial" w:hAnsi="Arial"/>
                <w:color w:val="1A1A1A"/>
                <w:sz w:val="17"/>
                <w:szCs w:val="17"/>
              </w:rPr>
              <w:t xml:space="preserve">☐ Dados da NF-e: emitente (produtor rural vinculado, com IE selecionada), destinatário (cliente do cadastro US-FN22, com dados fiscais), produtos (do cadastro US-076 com NCM, CEST, unidade tributável, peso), CFOP por item, tributação por item (ICMS, IPI quando aplicável, PIS/COFINS), valor do frete (CIF/FOB), seguro, descarte, acréscimos</w:t>
            </w:r>
          </w:p>
          <w:p>
            <w:pPr>
              <w:spacing w:after="30"/>
            </w:pPr>
            <w:r>
              <w:rPr>
                <w:rFonts w:ascii="Arial" w:cs="Arial" w:eastAsia="Arial" w:hAnsi="Arial"/>
                <w:color w:val="1A1A1A"/>
                <w:sz w:val="17"/>
                <w:szCs w:val="17"/>
              </w:rPr>
              <w:t xml:space="preserve">☐ Tributação rural: FUNRURAL calculado automaticamente sobre valor bruto (1,5% PF / 2,05% PJ — alíquota configurável por produtor), retenção destacada na NF-e. SENAR (0,2%) calculado junto. ICMS diferido (quando aplicável — café em MG, por exemplo). Isenção/não incidência automática por produto e UF (ex.: venda de leite in natura em SP = isento)</w:t>
            </w:r>
          </w:p>
          <w:p>
            <w:pPr>
              <w:spacing w:after="30"/>
            </w:pPr>
            <w:r>
              <w:rPr>
                <w:rFonts w:ascii="Arial" w:cs="Arial" w:eastAsia="Arial" w:hAnsi="Arial"/>
                <w:color w:val="1A1A1A"/>
                <w:sz w:val="17"/>
                <w:szCs w:val="17"/>
              </w:rPr>
              <w:t xml:space="preserve">☐ Fluxo: preencher dados → pré-visualização (DANFE simulada) → transmitir à SEFAZ → receber autorização (protocolo) → DANFE gerado (PDF) + XML disponível para download. Status: em digitação, transmitida, autorizada, rejeitada (com motivo da rejeição e opção de corrigir e retransmitir), cancelada, inutilizada</w:t>
            </w:r>
          </w:p>
          <w:p>
            <w:pPr>
              <w:spacing w:after="30"/>
            </w:pPr>
            <w:r>
              <w:rPr>
                <w:rFonts w:ascii="Arial" w:cs="Arial" w:eastAsia="Arial" w:hAnsi="Arial"/>
                <w:color w:val="1A1A1A"/>
                <w:sz w:val="17"/>
                <w:szCs w:val="17"/>
              </w:rPr>
              <w:t xml:space="preserve">☐ Cancelamento e carta de correção: cancelamento dentro do prazo legal (24h na maioria dos estados), carta de correção eletrônica (CC-e) para ajustes permitidos (ex.: endereço, CFOP), inutilização de faixa de numeração</w:t>
            </w:r>
          </w:p>
          <w:p>
            <w:pPr>
              <w:spacing w:after="30"/>
            </w:pPr>
            <w:r>
              <w:rPr>
                <w:rFonts w:ascii="Arial" w:cs="Arial" w:eastAsia="Arial" w:hAnsi="Arial"/>
                <w:color w:val="1A1A1A"/>
                <w:sz w:val="17"/>
                <w:szCs w:val="17"/>
              </w:rPr>
              <w:t xml:space="preserve">☐ Integração automática: NF-e autorizada gera automaticamente CR no contas a receber (US-FN12) com valor bruto, deduções (FUNRURAL, SENAR etc.) e valor líquido. Lançamento contábil automático (Receita Bruta / Deduções / FUNRURAL a Recolher). Vinculação ao contrato de venda (US-FN27) quando aplicável, com baixa automática de saldo contratado</w:t>
            </w:r>
          </w:p>
          <w:p>
            <w:pPr>
              <w:spacing w:after="30"/>
            </w:pPr>
            <w:r>
              <w:rPr>
                <w:rFonts w:ascii="Arial" w:cs="Arial" w:eastAsia="Arial" w:hAnsi="Arial"/>
                <w:color w:val="1A1A1A"/>
                <w:sz w:val="17"/>
                <w:szCs w:val="17"/>
              </w:rPr>
              <w:t xml:space="preserve">☐ Consulta e gestão: lista de NF-e emitidas com filtros (período, destinatário, status, produto), download XML/DANFE em lote, resumo fiscal do período (total faturado, ICMS, FUNRURAL, SENAR por mês/trimestre/ano), exportação para contador (XML em lote + planilha resumo)</w:t>
            </w:r>
          </w:p>
          <w:p>
            <w:pPr>
              <w:spacing w:after="30"/>
            </w:pPr>
            <w:r>
              <w:rPr>
                <w:rFonts w:ascii="Arial" w:cs="Arial" w:eastAsia="Arial" w:hAnsi="Arial"/>
                <w:color w:val="1A1A1A"/>
                <w:sz w:val="17"/>
                <w:szCs w:val="17"/>
              </w:rPr>
              <w:t xml:space="preserve">☐ Série e numeração: configuração de séries por IE (cada inscrição estadual pode ter série própria), numeração automática sequencial, contingência (EPEC/FS-DA) quando SEFAZ indisponível</w:t>
            </w:r>
          </w:p>
          <w:p>
            <w:pPr>
              <w:spacing w:after="30"/>
            </w:pPr>
            <w:r>
              <w:rPr>
                <w:rFonts w:ascii="Arial" w:cs="Arial" w:eastAsia="Arial" w:hAnsi="Arial"/>
                <w:color w:val="1A1A1A"/>
                <w:sz w:val="17"/>
                <w:szCs w:val="17"/>
              </w:rPr>
              <w:t xml:space="preserve">☐ Validações: NCM obrigatório por produto, peso obrigatório para produtos agrícolas (para GTA e romaneio), CNPJ/CPF do destinatário validado, alerta se operação interestadual sem GNRE quando exigível</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US-F502</w:t>
            </w:r>
          </w:p>
        </w:tc>
        <w:tc>
          <w:tcPr>
            <w:tcW w:type="dxa" w:w="2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Importação de NF-e de entrada (XML)</w:t>
            </w:r>
          </w:p>
          <w:p>
            <w:pPr>
              <w:spacing w:after="30"/>
            </w:pPr>
            <w:r>
              <w:rPr>
                <w:rFonts w:ascii="Arial" w:cs="Arial" w:eastAsia="Arial" w:hAnsi="Arial"/>
                <w:i/>
                <w:iCs/>
                <w:color w:val="1A1A1A"/>
                <w:sz w:val="17"/>
                <w:szCs w:val="17"/>
              </w:rPr>
              <w:t>Como gerente financeiro ou de compras, quero importar o XML de NF-e recebidas de fornecedores para preencher automaticamente dados de recebimento, estoque e contas a pagar, para eu elimine digitação manual, reduza erros e tenha rastreabilidade fiscal completa da cadeia de compras</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47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Upload de XML de NF-e (modelo 55) e CT-e (modelo 57 — frete): individual ou em lote (ZIP com múltiplos XMLs). Aceitar XML recebido por email (integração Gmail/Outlook futura) ou download do portal da SEFAZ (manifestação do destinatário)</w:t>
            </w:r>
          </w:p>
          <w:p>
            <w:pPr>
              <w:spacing w:after="30"/>
            </w:pPr>
            <w:r>
              <w:rPr>
                <w:rFonts w:ascii="Arial" w:cs="Arial" w:eastAsia="Arial" w:hAnsi="Arial"/>
                <w:color w:val="1A1A1A"/>
                <w:sz w:val="17"/>
                <w:szCs w:val="17"/>
              </w:rPr>
              <w:t xml:space="preserve">☐ Parser automático do XML: extração de emitente (CNPJ, razão social → vincular ao cadastro de fornecedores, criar se novo), produtos (descrição, NCM, quantidade, valor unitário, valor total → vincular ao cadastro de produtos US-076 por NCM ou nome), impostos (ICMS, IPI, PIS, COFINS — para apuração fiscal), dados de transporte (CT-e: transportadora, placa, peso, valor frete)</w:t>
            </w:r>
          </w:p>
          <w:p>
            <w:pPr>
              <w:spacing w:after="30"/>
            </w:pPr>
            <w:r>
              <w:rPr>
                <w:rFonts w:ascii="Arial" w:cs="Arial" w:eastAsia="Arial" w:hAnsi="Arial"/>
                <w:color w:val="1A1A1A"/>
                <w:sz w:val="17"/>
                <w:szCs w:val="17"/>
              </w:rPr>
              <w:t xml:space="preserve">☐ Conferência NF × pedido de compra: ao importar XML, sistema sugere vinculação ao pedido de compra (US-CP10) por fornecedor + produtos similares. Comparação automática: item a item (quantidade NF vs. quantidade pedida, preço NF vs. preço contratado). Alerta de divergência: preço &gt; 5% diferente, quantidade diferente, produto não previsto no pedido</w:t>
            </w:r>
          </w:p>
          <w:p>
            <w:pPr>
              <w:spacing w:after="30"/>
            </w:pPr>
            <w:r>
              <w:rPr>
                <w:rFonts w:ascii="Arial" w:cs="Arial" w:eastAsia="Arial" w:hAnsi="Arial"/>
                <w:color w:val="1A1A1A"/>
                <w:sz w:val="17"/>
                <w:szCs w:val="17"/>
              </w:rPr>
              <w:t xml:space="preserve">☐ Integração com recebimento (US-CP11): XML importado preenche automaticamente a tela de recebimento (NF já vinculada). Se recebimento já foi feito sem NF (cenário 3), vincular XML ao recebimento existente e ajustar custos</w:t>
            </w:r>
          </w:p>
          <w:p>
            <w:pPr>
              <w:spacing w:after="30"/>
            </w:pPr>
            <w:r>
              <w:rPr>
                <w:rFonts w:ascii="Arial" w:cs="Arial" w:eastAsia="Arial" w:hAnsi="Arial"/>
                <w:color w:val="1A1A1A"/>
                <w:sz w:val="17"/>
                <w:szCs w:val="17"/>
              </w:rPr>
              <w:t xml:space="preserve">☐ Integração financeira: NF importada gera CP automaticamente (fornecedor, valor, vencimento calculado pela condição de pagamento do pedido). CT-e gera CP separado para a transportadora. Despesas acessórias rateadas conforme US-077</w:t>
            </w:r>
          </w:p>
          <w:p>
            <w:pPr>
              <w:spacing w:after="30"/>
            </w:pPr>
            <w:r>
              <w:rPr>
                <w:rFonts w:ascii="Arial" w:cs="Arial" w:eastAsia="Arial" w:hAnsi="Arial"/>
                <w:color w:val="1A1A1A"/>
                <w:sz w:val="17"/>
                <w:szCs w:val="17"/>
              </w:rPr>
              <w:t xml:space="preserve">☐ Manifestação do destinatário: consultar NF-e emitidas contra o CNPJ do produtor na SEFAZ (a cada X horas), listar NF-e pendentes de manifestação, permitir operações: confirmação, desconhecimento, operação não realizada, ciência</w:t>
            </w:r>
          </w:p>
          <w:p>
            <w:pPr>
              <w:spacing w:after="30"/>
            </w:pPr>
            <w:r>
              <w:rPr>
                <w:rFonts w:ascii="Arial" w:cs="Arial" w:eastAsia="Arial" w:hAnsi="Arial"/>
                <w:color w:val="1A1A1A"/>
                <w:sz w:val="17"/>
                <w:szCs w:val="17"/>
              </w:rPr>
              <w:t xml:space="preserve">☐ Armazenamento: XML original arquivado (obrigação fiscal de 5 anos), vinculado ao recebimento, CP e lançamento contábil. Consulta por chave de acesso, período, fornecedor</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Tela de importação: dropzone para upload de XML (individual ou ZIP), barra de progresso, lista de NF-es com status</w:t>
            </w:r>
          </w:p>
          <w:p>
            <w:pPr>
              <w:spacing w:after="30"/>
            </w:pPr>
            <w:r>
              <w:rPr>
                <w:rFonts w:ascii="Arial" w:cs="Arial" w:eastAsia="Arial" w:hAnsi="Arial"/>
                <w:color w:val="1A1A1A"/>
                <w:sz w:val="17"/>
                <w:szCs w:val="17"/>
              </w:rPr>
              <w:t xml:space="preserve">☐ Tela de conferência NF x pedido: lado a lado com divergências destacadas (quantidade, valor, produto), ações: aceitar/rejeitar/ajustar</w:t>
            </w:r>
          </w:p>
          <w:p>
            <w:pPr>
              <w:spacing w:after="30"/>
            </w:pPr>
            <w:r>
              <w:rPr>
                <w:rFonts w:ascii="Arial" w:cs="Arial" w:eastAsia="Arial" w:hAnsi="Arial"/>
                <w:color w:val="1A1A1A"/>
                <w:sz w:val="17"/>
                <w:szCs w:val="17"/>
              </w:rPr>
              <w:t xml:space="preserve">☐ Formulário de manifestação do destinatário: seleção de operação (confirmação/desconhecimento/ciência) com envio à SEFAZ</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US-F503</w:t>
            </w:r>
          </w:p>
        </w:tc>
        <w:tc>
          <w:tcPr>
            <w:tcW w:type="dxa" w:w="27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Emissão de MDF-e (Manifesto Eletrônico de Documentos Fiscais)</w:t>
            </w:r>
          </w:p>
          <w:p>
            <w:pPr>
              <w:spacing w:after="30"/>
            </w:pPr>
            <w:r>
              <w:rPr>
                <w:rFonts w:ascii="Arial" w:cs="Arial" w:eastAsia="Arial" w:hAnsi="Arial"/>
                <w:i/>
                <w:iCs/>
                <w:color w:val="1A1A1A"/>
                <w:sz w:val="17"/>
                <w:szCs w:val="17"/>
              </w:rPr>
              <w:t>Como gerente logístico ou administrativo, quero emitir MDF-e para transporte de produtos agropecuários diretamente pelo sistema, para o transporte esteja regularizado fiscalmente, sem necessidade de sistemas externos, e eu tenha rastreabilidade da carga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Emissão de MDF-e modelo 58 integrada com SEFAZ: obrigatório para transporte interestadual e intermunicipal de produtos agrícolas em veículo próprio ou fretado</w:t>
            </w:r>
          </w:p>
          <w:p>
            <w:pPr>
              <w:spacing w:after="30"/>
            </w:pPr>
            <w:r>
              <w:rPr>
                <w:rFonts w:ascii="Arial" w:cs="Arial" w:eastAsia="Arial" w:hAnsi="Arial"/>
                <w:color w:val="1A1A1A"/>
                <w:sz w:val="17"/>
                <w:szCs w:val="17"/>
              </w:rPr>
              <w:t xml:space="preserve">☐ Dados do MDF-e: emitente (produtor/empresa), modal (rodoviário), dados do veículo (placa, RNTRC, UF), motorista (CPF, nome), percurso (UF de carregamento → UF(s) de descarregamento, com municípios de passagem), NF-e vinculadas (múltiplas notas agrupadas no mesmo manifesto), peso bruto total, valor total da carga</w:t>
            </w:r>
          </w:p>
          <w:p>
            <w:pPr>
              <w:spacing w:after="30"/>
            </w:pPr>
            <w:r>
              <w:rPr>
                <w:rFonts w:ascii="Arial" w:cs="Arial" w:eastAsia="Arial" w:hAnsi="Arial"/>
                <w:color w:val="1A1A1A"/>
                <w:sz w:val="17"/>
                <w:szCs w:val="17"/>
              </w:rPr>
              <w:t xml:space="preserve">☐ Encerramento: ao final da entrega, encerrar o MDF-e (obrigatório para liberar novo MDF-e para o mesmo veículo). Encerramento pela tela do sistema ou pelo app mobile (motorista no destino)</w:t>
            </w:r>
          </w:p>
          <w:p>
            <w:pPr>
              <w:spacing w:after="30"/>
            </w:pPr>
            <w:r>
              <w:rPr>
                <w:rFonts w:ascii="Arial" w:cs="Arial" w:eastAsia="Arial" w:hAnsi="Arial"/>
                <w:color w:val="1A1A1A"/>
                <w:sz w:val="17"/>
                <w:szCs w:val="17"/>
              </w:rPr>
              <w:t xml:space="preserve">☐ Cancelamento: dentro do prazo legal, com motivo</w:t>
            </w:r>
          </w:p>
          <w:p>
            <w:pPr>
              <w:spacing w:after="30"/>
            </w:pPr>
            <w:r>
              <w:rPr>
                <w:rFonts w:ascii="Arial" w:cs="Arial" w:eastAsia="Arial" w:hAnsi="Arial"/>
                <w:color w:val="1A1A1A"/>
                <w:sz w:val="17"/>
                <w:szCs w:val="17"/>
              </w:rPr>
              <w:t xml:space="preserve">☐ Integração: MDF-e vinculado às NF-e de saída emitidas (US-F501), ao romaneio de entrega (comercialização), ao veículo do cadastro de patrimônio (US-PT01). Dados do veículo e motorista pré-preenchidos do cadastro</w:t>
            </w:r>
          </w:p>
          <w:p>
            <w:pPr>
              <w:spacing w:after="30"/>
            </w:pPr>
            <w:r>
              <w:rPr>
                <w:rFonts w:ascii="Arial" w:cs="Arial" w:eastAsia="Arial" w:hAnsi="Arial"/>
                <w:color w:val="1A1A1A"/>
                <w:sz w:val="17"/>
                <w:szCs w:val="17"/>
              </w:rPr>
              <w:t xml:space="preserve">☐ DAMDFE: geração do documento auxiliar (PDF) para acompanhar o transporte. Download e impressão</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Formulário de emissão de MDF-e: emitente, modal rodoviário, veículo, motorista, percurso (UF origem/destino), NF-es vinculadas (seleção múltipla)</w:t>
            </w:r>
          </w:p>
          <w:p>
            <w:pPr>
              <w:spacing w:after="30"/>
            </w:pPr>
            <w:r>
              <w:rPr>
                <w:rFonts w:ascii="Arial" w:cs="Arial" w:eastAsia="Arial" w:hAnsi="Arial"/>
                <w:color w:val="1A1A1A"/>
                <w:sz w:val="17"/>
                <w:szCs w:val="17"/>
              </w:rPr>
              <w:t xml:space="preserve">☐ Lista de MDF-es: tabela com filtros (status, período, motorista, UF), ações (encerrar, cancelar, consultar SEFAZ)</w:t>
            </w:r>
          </w:p>
          <w:p>
            <w:pPr>
              <w:spacing w:after="30"/>
            </w:pPr>
            <w:r>
              <w:rPr>
                <w:rFonts w:ascii="Arial" w:cs="Arial" w:eastAsia="Arial" w:hAnsi="Arial"/>
                <w:color w:val="1A1A1A"/>
                <w:sz w:val="17"/>
                <w:szCs w:val="17"/>
              </w:rPr>
              <w:t xml:space="preserve">☐ Encerramento via mobile: botão no app para motorista encerrar no destino com geolocalização automática</w:t>
            </w:r>
          </w:p>
        </w:tc>
      </w:tr>
    </w:tbl>
    <w:p>
      <w:pPr>
        <w:spacing w:after="200"/>
      </w:pPr>
    </w:p>
    <w:p>
      <w:pPr>
        <w:pBdr>
          <w:bottom w:val="single" w:color="4CAF50" w:sz="3" w:space="1"/>
        </w:pBdr>
        <w:spacing w:before="200" w:after="200"/>
      </w:pPr>
    </w:p>
    <w:p>
      <w:pPr>
        <w:pStyle w:val="Heading2"/>
      </w:pPr>
      <w:r>
        <w:t xml:space="preserve">EPIC-F5-02: LCDPR e Obrigações Fiscais do Produtor Rural PF</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700"/>
        <w:gridCol w:w="500"/>
        <w:gridCol w:w="476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2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 / Descrição</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US-F504</w:t>
            </w:r>
          </w:p>
        </w:tc>
        <w:tc>
          <w:tcPr>
            <w:tcW w:type="dxa" w:w="27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Geração automática do LCDPR</w:t>
            </w:r>
          </w:p>
          <w:p>
            <w:pPr>
              <w:spacing w:after="30"/>
            </w:pPr>
            <w:r>
              <w:rPr>
                <w:rFonts w:ascii="Arial" w:cs="Arial" w:eastAsia="Arial" w:hAnsi="Arial"/>
                <w:i/>
                <w:iCs/>
                <w:color w:val="1A1A1A"/>
                <w:sz w:val="17"/>
                <w:szCs w:val="17"/>
              </w:rPr>
              <w:t>Como produtor rural pessoa física ou contador, quero gerar automaticamente o Livro Caixa Digital do Produtor Rural a partir dos lançamentos financeiros do sistema, para eu cumpra a obrigação fiscal perante a Receita Federal sem compilar dados manualmente e com segurança de que os valores estão corretos</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Obrigatoriedade: LCDPR obrigatório para produtores PF com receita bruta anual &gt; R$ 153.199,50 (valor 2024, atualizável). Sistema identifica automaticamente quais produtores cadastrados estão obrigados, com base no CR acumulado no ano</w:t>
            </w:r>
          </w:p>
          <w:p>
            <w:pPr>
              <w:spacing w:after="30"/>
            </w:pPr>
            <w:r>
              <w:rPr>
                <w:rFonts w:ascii="Arial" w:cs="Arial" w:eastAsia="Arial" w:hAnsi="Arial"/>
                <w:color w:val="1A1A1A"/>
                <w:sz w:val="17"/>
                <w:szCs w:val="17"/>
              </w:rPr>
              <w:t xml:space="preserve">☐ Classificação automática: cada lançamento financeiro (CP baixado e CR recebido) classificado automaticamente na estrutura do LCDPR: receitas (venda de produtos agrícolas, pecuários, outras), despesas de custeio (insumos, mão de obra, combustível, serviços), investimentos (máquinas, benfeitorias, melhorias), depreciação/exaustão. Classificação baseada na conta gerencial (US-FN24) e no tipo de operação, com tabela de-para configurável</w:t>
            </w:r>
          </w:p>
          <w:p>
            <w:pPr>
              <w:spacing w:after="30"/>
            </w:pPr>
            <w:r>
              <w:rPr>
                <w:rFonts w:ascii="Arial" w:cs="Arial" w:eastAsia="Arial" w:hAnsi="Arial"/>
                <w:color w:val="1A1A1A"/>
                <w:sz w:val="17"/>
                <w:szCs w:val="17"/>
              </w:rPr>
              <w:t xml:space="preserve">☐ Segregação por imóvel rural: LCDPR exige lançamentos por imóvel rural (fazenda/matrícula). Sistema segrega automaticamente pelo vínculo fazenda × produtor × matrícula (VinculoProdutorFazenda). Rateio proporcional para despesas compartilhadas entre fazendas (ex.: administrativo rateado por área)</w:t>
            </w:r>
          </w:p>
          <w:p>
            <w:pPr>
              <w:spacing w:after="30"/>
            </w:pPr>
            <w:r>
              <w:rPr>
                <w:rFonts w:ascii="Arial" w:cs="Arial" w:eastAsia="Arial" w:hAnsi="Arial"/>
                <w:color w:val="1A1A1A"/>
                <w:sz w:val="17"/>
                <w:szCs w:val="17"/>
              </w:rPr>
              <w:t xml:space="preserve">☐ Campos do registro LCDPR: data do lançamento, histórico (descrição), CPF/CNPJ da contraparte, tipo (receita/despesa/investimento), valor, imóvel rural (NIRF ou código do imóvel), conta LCDPR (código conforme tabela RFB)</w:t>
            </w:r>
          </w:p>
          <w:p>
            <w:pPr>
              <w:spacing w:after="30"/>
            </w:pPr>
            <w:r>
              <w:rPr>
                <w:rFonts w:ascii="Arial" w:cs="Arial" w:eastAsia="Arial" w:hAnsi="Arial"/>
                <w:color w:val="1A1A1A"/>
                <w:sz w:val="17"/>
                <w:szCs w:val="17"/>
              </w:rPr>
              <w:t xml:space="preserve">☐ Validações automáticas: receita do LCDPR = soma de CR recebidos no período (regime de caixa — não competência), despesa = soma de CP pagos no período, investimentos = aquisições pagas no período. Alerta se total do LCDPR diverge do fluxo de caixa realizado. Lançamentos sem classificação LCDPR destacados para revisão</w:t>
            </w:r>
          </w:p>
          <w:p>
            <w:pPr>
              <w:spacing w:after="30"/>
            </w:pPr>
            <w:r>
              <w:rPr>
                <w:rFonts w:ascii="Arial" w:cs="Arial" w:eastAsia="Arial" w:hAnsi="Arial"/>
                <w:color w:val="1A1A1A"/>
                <w:sz w:val="17"/>
                <w:szCs w:val="17"/>
              </w:rPr>
              <w:t xml:space="preserve">☐ Geração do arquivo: formato digital conforme layout da RFB (arquivo texto TXT com registros tipo 0000, Q100, Q200, 9999). Exportação para importação no programa IRPF ou envio direto ao contador</w:t>
            </w:r>
          </w:p>
          <w:p>
            <w:pPr>
              <w:spacing w:after="30"/>
            </w:pPr>
            <w:r>
              <w:rPr>
                <w:rFonts w:ascii="Arial" w:cs="Arial" w:eastAsia="Arial" w:hAnsi="Arial"/>
                <w:color w:val="1A1A1A"/>
                <w:sz w:val="17"/>
                <w:szCs w:val="17"/>
              </w:rPr>
              <w:t xml:space="preserve">☐ Resultado do LCDPR: receita bruta – despesas de custeio – depreciação = resultado da atividade rural. Confronto com o resultado da DRE contábil (US-C06) para identificar diferenças entre regime de caixa (LCDPR) e competência (contabilidade)</w:t>
            </w:r>
          </w:p>
          <w:p>
            <w:pPr>
              <w:spacing w:after="30"/>
            </w:pPr>
            <w:r>
              <w:rPr>
                <w:rFonts w:ascii="Arial" w:cs="Arial" w:eastAsia="Arial" w:hAnsi="Arial"/>
                <w:color w:val="1A1A1A"/>
                <w:sz w:val="17"/>
                <w:szCs w:val="17"/>
              </w:rPr>
              <w:t xml:space="preserve">☐ Relatório auxiliar para IRPF: demonstrativo de atividade rural (DAA-RR), resumo de receitas e despesas por categoria, bens da atividade rural (informar na declaração), dívidas (crédito rural ativo)</w:t>
            </w:r>
          </w:p>
          <w:p>
            <w:pPr>
              <w:spacing w:after="30"/>
            </w:pPr>
            <w:r>
              <w:rPr>
                <w:rFonts w:ascii="Arial" w:cs="Arial" w:eastAsia="Arial" w:hAnsi="Arial"/>
                <w:color w:val="1A1A1A"/>
                <w:sz w:val="17"/>
                <w:szCs w:val="17"/>
              </w:rPr>
              <w:t xml:space="preserve">☐ Fechamento anual: checklist de conferência antes de gerar arquivo final (lançamentos sem classificação, divergências caixa × LCDPR, despesas sem NF), aprovação pelo produtor/contador, arquivo final salvo com hash e timestamp</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Tela principal do LCDPR: lista de lançamentos classificados por tipo de receita/despesa, filtros por período, produtor, fazenda</w:t>
            </w:r>
          </w:p>
          <w:p>
            <w:pPr>
              <w:spacing w:after="30"/>
            </w:pPr>
            <w:r>
              <w:rPr>
                <w:rFonts w:ascii="Arial" w:cs="Arial" w:eastAsia="Arial" w:hAnsi="Arial"/>
                <w:color w:val="1A1A1A"/>
                <w:sz w:val="17"/>
                <w:szCs w:val="17"/>
              </w:rPr>
              <w:t xml:space="preserve">☐ Revisão de classificação: coluna editável com dropdown de tipos LCDPR, destaque em amarelo para lançamentos sem classificação</w:t>
            </w:r>
          </w:p>
          <w:p>
            <w:pPr>
              <w:spacing w:after="30"/>
            </w:pPr>
            <w:r>
              <w:rPr>
                <w:rFonts w:ascii="Arial" w:cs="Arial" w:eastAsia="Arial" w:hAnsi="Arial"/>
                <w:color w:val="1A1A1A"/>
                <w:sz w:val="17"/>
                <w:szCs w:val="17"/>
              </w:rPr>
              <w:t xml:space="preserve">☐ Checklist visual de fechamento: etapas com status (concluída/pendente), links para resolver pendências</w:t>
            </w:r>
          </w:p>
          <w:p>
            <w:pPr>
              <w:spacing w:after="30"/>
            </w:pPr>
            <w:r>
              <w:rPr>
                <w:rFonts w:ascii="Arial" w:cs="Arial" w:eastAsia="Arial" w:hAnsi="Arial"/>
                <w:color w:val="1A1A1A"/>
                <w:sz w:val="17"/>
                <w:szCs w:val="17"/>
              </w:rPr>
              <w:t xml:space="preserve">☐ Botão de geração: wizard com seleção de ano-base, produtor, preview do resultado antes de gerar arquivo final</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US-F505</w:t>
            </w:r>
          </w:p>
        </w:tc>
        <w:tc>
          <w:tcPr>
            <w:tcW w:type="dxa" w:w="2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Gestão de ITR e imóveis rurais</w:t>
            </w:r>
          </w:p>
          <w:p>
            <w:pPr>
              <w:spacing w:after="30"/>
            </w:pPr>
            <w:r>
              <w:rPr>
                <w:rFonts w:ascii="Arial" w:cs="Arial" w:eastAsia="Arial" w:hAnsi="Arial"/>
                <w:i/>
                <w:iCs/>
                <w:color w:val="1A1A1A"/>
                <w:sz w:val="17"/>
                <w:szCs w:val="17"/>
              </w:rPr>
              <w:t>Como produtor rural ou contador, quero controlar os dados dos imóveis rurais necessários para declaração do ITR e manter atualizado o cadastro no SNCR/SIGEF, para eu declare o ITR corretamente e tenha os dados fundiários sempre à mão para financiamentos, regularização e transferências</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47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Cadastro de imóvel rural completo: NIRF (nº do imóvel na RFB), CIB (Cadastro Imobiliário Brasileiro — novo identificador), código INCRA, nº CCIR, CAR (código e recibo), matrícula(s) no cartório (número, comarca, livro, folha), área total registrada, área total georreferenciada (SIGEF), classificação fundiária (pequena/média/grande propriedade com base no módulo fiscal do município)</w:t>
            </w:r>
          </w:p>
          <w:p>
            <w:pPr>
              <w:spacing w:after="30"/>
            </w:pPr>
            <w:r>
              <w:rPr>
                <w:rFonts w:ascii="Arial" w:cs="Arial" w:eastAsia="Arial" w:hAnsi="Arial"/>
                <w:color w:val="1A1A1A"/>
                <w:sz w:val="17"/>
                <w:szCs w:val="17"/>
              </w:rPr>
              <w:t xml:space="preserve">☐ Áreas para ITR: área total, área tributável (total – APP – Reserva Legal – áreas de preservação permanente – áreas de utilidade pública – áreas cobertas por florestas nativas), grau de utilização (GU) = área efetivamente utilizada / área utilizável × 100. Cálculo automático do GU a partir das áreas de talhões com operações e pastos com animais registrados no período</w:t>
            </w:r>
          </w:p>
          <w:p>
            <w:pPr>
              <w:spacing w:after="30"/>
            </w:pPr>
            <w:r>
              <w:rPr>
                <w:rFonts w:ascii="Arial" w:cs="Arial" w:eastAsia="Arial" w:hAnsi="Arial"/>
                <w:color w:val="1A1A1A"/>
                <w:sz w:val="17"/>
                <w:szCs w:val="17"/>
              </w:rPr>
              <w:t xml:space="preserve">☐ VTN (Valor da Terra Nua): informar VTN por hectare declarado e VTN por hectare conforme pauta da RFB/município (para conferência). Cálculo do imposto estimado: alíquota progressiva conforme tabela ITR (grau de utilização × tamanho da propriedade em módulos fiscais)</w:t>
            </w:r>
          </w:p>
          <w:p>
            <w:pPr>
              <w:spacing w:after="30"/>
            </w:pPr>
            <w:r>
              <w:rPr>
                <w:rFonts w:ascii="Arial" w:cs="Arial" w:eastAsia="Arial" w:hAnsi="Arial"/>
                <w:color w:val="1A1A1A"/>
                <w:sz w:val="17"/>
                <w:szCs w:val="17"/>
              </w:rPr>
              <w:t xml:space="preserve">☐ Documentação: upload de CCIR atualizado (consulta periódica ao INCRA), certidão de matrícula, recibo do CAR, comprovante de regularização SIGEF, memorial descritivo georreferenciado. Alertas de vencimento: CCIR (anual), CAR (prazo de regularização), SIGEF (prazo de certificação)</w:t>
            </w:r>
          </w:p>
          <w:p>
            <w:pPr>
              <w:spacing w:after="30"/>
            </w:pPr>
            <w:r>
              <w:rPr>
                <w:rFonts w:ascii="Arial" w:cs="Arial" w:eastAsia="Arial" w:hAnsi="Arial"/>
                <w:color w:val="1A1A1A"/>
                <w:sz w:val="17"/>
                <w:szCs w:val="17"/>
              </w:rPr>
              <w:t xml:space="preserve">☐ Integração: dados do imóvel vinculados ao cadastro de fazenda (US-001), áreas de APP e Reserva Legal vinculadas ao módulo ambiental (US-F506), matrículas vinculadas ao vínculo produtor × fazenda</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Formulário de cadastro de imóvel rural: dados do INCRA/SNCR, CCIR, áreas (total, tributável, APP, reserva legal), grau de utilização</w:t>
            </w:r>
          </w:p>
          <w:p>
            <w:pPr>
              <w:spacing w:after="30"/>
            </w:pPr>
            <w:r>
              <w:rPr>
                <w:rFonts w:ascii="Arial" w:cs="Arial" w:eastAsia="Arial" w:hAnsi="Arial"/>
                <w:color w:val="1A1A1A"/>
                <w:sz w:val="17"/>
                <w:szCs w:val="17"/>
              </w:rPr>
              <w:t xml:space="preserve">☐ Tela de listagem de imóveis: tabela com fazenda, CCIR, situação, VTN, GU calculado, alertas de vencimento</w:t>
            </w:r>
          </w:p>
          <w:p>
            <w:pPr>
              <w:spacing w:after="30"/>
            </w:pPr>
            <w:r>
              <w:rPr>
                <w:rFonts w:ascii="Arial" w:cs="Arial" w:eastAsia="Arial" w:hAnsi="Arial"/>
                <w:color w:val="1A1A1A"/>
                <w:sz w:val="17"/>
                <w:szCs w:val="17"/>
              </w:rPr>
              <w:t xml:space="preserve">☐ Upload de documentos: dropzone para CCIR atualizado, comprovante de pagamento ITR, recibo DIAT</w:t>
            </w:r>
          </w:p>
          <w:p>
            <w:pPr>
              <w:spacing w:after="30"/>
            </w:pPr>
            <w:r>
              <w:rPr>
                <w:rFonts w:ascii="Arial" w:cs="Arial" w:eastAsia="Arial" w:hAnsi="Arial"/>
                <w:color w:val="1A1A1A"/>
                <w:sz w:val="17"/>
                <w:szCs w:val="17"/>
              </w:rPr>
              <w:t xml:space="preserve">☐ Card de alertas: vencimentos de CCIR e prazos de entrega DIAT com contagem regressiva</w:t>
            </w:r>
          </w:p>
        </w:tc>
      </w:tr>
    </w:tbl>
    <w:p>
      <w:pPr>
        <w:spacing w:after="200"/>
      </w:pPr>
    </w:p>
    <w:p>
      <w:pPr>
        <w:pBdr>
          <w:bottom w:val="single" w:color="4CAF50" w:sz="3" w:space="1"/>
        </w:pBdr>
        <w:spacing w:before="200" w:after="200"/>
      </w:pPr>
    </w:p>
    <w:p>
      <w:pPr>
        <w:pStyle w:val="Heading2"/>
      </w:pPr>
      <w:r>
        <w:t xml:space="preserve">EPIC-F5-03: Gestão CAR, Ambiental e Licenciamento</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700"/>
        <w:gridCol w:w="500"/>
        <w:gridCol w:w="476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2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 / Descrição</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US-F506</w:t>
            </w:r>
          </w:p>
        </w:tc>
        <w:tc>
          <w:tcPr>
            <w:tcW w:type="dxa" w:w="27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Gestão do CAR e sobreposição com áreas produtivas</w:t>
            </w:r>
          </w:p>
          <w:p>
            <w:pPr>
              <w:spacing w:after="30"/>
            </w:pPr>
            <w:r>
              <w:rPr>
                <w:rFonts w:ascii="Arial" w:cs="Arial" w:eastAsia="Arial" w:hAnsi="Arial"/>
                <w:i/>
                <w:iCs/>
                <w:color w:val="1A1A1A"/>
                <w:sz w:val="17"/>
                <w:szCs w:val="17"/>
              </w:rPr>
              <w:t>Como gerente ambiental ou proprietário, quero importar o shapefile do CAR e visualizar as áreas de APP, Reserva Legal e uso consolidado sobrepostas com os talhões e pastos, para eu garanta que nenhuma operação agrícola ou pecuária invada áreas protegidas e tenha evidências para auditorias ambientais</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Importação do CAR: upload do shapefile (ou GeoJSON/KML) baixado do SICAR. Parser automático das camadas: perímetro do imóvel, APP, Reserva Legal, uso consolidado, área de servidão, área de uso restrito, nascentes, rios/córregos</w:t>
            </w:r>
          </w:p>
          <w:p>
            <w:pPr>
              <w:spacing w:after="30"/>
            </w:pPr>
            <w:r>
              <w:rPr>
                <w:rFonts w:ascii="Arial" w:cs="Arial" w:eastAsia="Arial" w:hAnsi="Arial"/>
                <w:color w:val="1A1A1A"/>
                <w:sz w:val="17"/>
                <w:szCs w:val="17"/>
              </w:rPr>
              <w:t xml:space="preserve">☐ Visualização no mapa: camadas ambientais sobrepostas com talhões (US-AG01) e pastos cadastrados. Cores diferenciadas: APP (vermelho), Reserva Legal (verde escuro), uso consolidado (amarelo), área produtiva (verde claro). Toggle por camada</w:t>
            </w:r>
          </w:p>
          <w:p>
            <w:pPr>
              <w:spacing w:after="30"/>
            </w:pPr>
            <w:r>
              <w:rPr>
                <w:rFonts w:ascii="Arial" w:cs="Arial" w:eastAsia="Arial" w:hAnsi="Arial"/>
                <w:color w:val="1A1A1A"/>
                <w:sz w:val="17"/>
                <w:szCs w:val="17"/>
              </w:rPr>
              <w:t xml:space="preserve">☐ Validação de sobreposição: sistema calcula automaticamente se algum talhão ou pasto cadastrado invade APP ou Reserva Legal. Alerta: 'Talhão XYZ tem 1,2 ha sobrepondo APP — verificar e ajustar limite'. Percentual de sobreposição calculado</w:t>
            </w:r>
          </w:p>
          <w:p>
            <w:pPr>
              <w:spacing w:after="30"/>
            </w:pPr>
            <w:r>
              <w:rPr>
                <w:rFonts w:ascii="Arial" w:cs="Arial" w:eastAsia="Arial" w:hAnsi="Arial"/>
                <w:color w:val="1A1A1A"/>
                <w:sz w:val="17"/>
                <w:szCs w:val="17"/>
              </w:rPr>
              <w:t xml:space="preserve">☐ Cálculo de áreas: área de APP total, Reserva Legal total (ha e % da área total — mínimo legal 20% Mata Atlântica / 35% Cerrado / 80% Amazônia conforme bioma configurado), área produtiva efetiva (total – APP – RL – infraestrutura), comparativo com área declarada no ITR (US-F505)</w:t>
            </w:r>
          </w:p>
          <w:p>
            <w:pPr>
              <w:spacing w:after="30"/>
            </w:pPr>
            <w:r>
              <w:rPr>
                <w:rFonts w:ascii="Arial" w:cs="Arial" w:eastAsia="Arial" w:hAnsi="Arial"/>
                <w:color w:val="1A1A1A"/>
                <w:sz w:val="17"/>
                <w:szCs w:val="17"/>
              </w:rPr>
              <w:t xml:space="preserve">☐ Gestão de pendências do CAR: status (ativo, pendente de análise, em retificação, cancelado), prazo para regularização, PRA (Programa de Regularização Ambiental) — se houver déficit de Reserva Legal, registrar compromisso de recomposição com cronograma</w:t>
            </w:r>
          </w:p>
          <w:p>
            <w:pPr>
              <w:spacing w:after="30"/>
            </w:pPr>
            <w:r>
              <w:rPr>
                <w:rFonts w:ascii="Arial" w:cs="Arial" w:eastAsia="Arial" w:hAnsi="Arial"/>
                <w:color w:val="1A1A1A"/>
                <w:sz w:val="17"/>
                <w:szCs w:val="17"/>
              </w:rPr>
              <w:t xml:space="preserve">☐ Histórico: versões do CAR ao longo do tempo (retificações), auditoria de alterações</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US-F507</w:t>
            </w:r>
          </w:p>
        </w:tc>
        <w:tc>
          <w:tcPr>
            <w:tcW w:type="dxa" w:w="2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Controle de licenças ambientais e outorgas</w:t>
            </w:r>
          </w:p>
          <w:p>
            <w:pPr>
              <w:spacing w:after="30"/>
            </w:pPr>
            <w:r>
              <w:rPr>
                <w:rFonts w:ascii="Arial" w:cs="Arial" w:eastAsia="Arial" w:hAnsi="Arial"/>
                <w:i/>
                <w:iCs/>
                <w:color w:val="1A1A1A"/>
                <w:sz w:val="17"/>
                <w:szCs w:val="17"/>
              </w:rPr>
              <w:t>Como gerente ambiental ou administrativo, quero cadastrar e controlar todas as licenças ambientais, outorgas de uso de água e autorizações da fazenda, para nenhuma licença expire sem renovação, eu tenha os documentos organizados para auditorias e evite multas por operação sem autorização</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47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Cadastro de licença/autorização: tipo (licença ambiental LP/LI/LO, outorga de uso de água para irrigação/dessedentação, autorização de supressão de vegetação, licença para aplicação de agrotóxicos, autorização de queima controlada, registro no IBAMA para CTF, outro), órgão emissor (IBAMA, órgão estadual — CETESB, IEF, IAP etc., prefeitura), número, data de emissão, data de validade, condicionantes (lista de obrigações com prazo), fazenda vinculada, atividade vinculada</w:t>
            </w:r>
          </w:p>
          <w:p>
            <w:pPr>
              <w:spacing w:after="30"/>
            </w:pPr>
            <w:r>
              <w:rPr>
                <w:rFonts w:ascii="Arial" w:cs="Arial" w:eastAsia="Arial" w:hAnsi="Arial"/>
                <w:color w:val="1A1A1A"/>
                <w:sz w:val="17"/>
                <w:szCs w:val="17"/>
              </w:rPr>
              <w:t xml:space="preserve">☐ Documentação: upload do documento original (PDF), condicionantes detalhadas (texto + prazo + status: pendente/atendida/vencida), relatórios de monitoramento vinculados (ex.: relatório de monitoramento de efluentes, laudo de solo)</w:t>
            </w:r>
          </w:p>
          <w:p>
            <w:pPr>
              <w:spacing w:after="30"/>
            </w:pPr>
            <w:r>
              <w:rPr>
                <w:rFonts w:ascii="Arial" w:cs="Arial" w:eastAsia="Arial" w:hAnsi="Arial"/>
                <w:color w:val="1A1A1A"/>
                <w:sz w:val="17"/>
                <w:szCs w:val="17"/>
              </w:rPr>
              <w:t xml:space="preserve">☐ Alertas: vencimento da licença (30/60/90/180 dias antes — configurável), condicionante com prazo vencendo, renovação necessária (workflow automático: gerar tarefa de renovação X dias antes do vencimento)</w:t>
            </w:r>
          </w:p>
          <w:p>
            <w:pPr>
              <w:spacing w:after="30"/>
            </w:pPr>
            <w:r>
              <w:rPr>
                <w:rFonts w:ascii="Arial" w:cs="Arial" w:eastAsia="Arial" w:hAnsi="Arial"/>
                <w:color w:val="1A1A1A"/>
                <w:sz w:val="17"/>
                <w:szCs w:val="17"/>
              </w:rPr>
              <w:t xml:space="preserve">☐ Dashboard ambiental: licenças vigentes, vencendo e vencidas. Condicionantes pendentes. Fazendas sem licença obrigatória (ex.: irrigação sem outorga). Mapa com áreas de irrigação × outorgas</w:t>
            </w:r>
          </w:p>
          <w:p>
            <w:pPr>
              <w:spacing w:after="30"/>
            </w:pPr>
            <w:r>
              <w:rPr>
                <w:rFonts w:ascii="Arial" w:cs="Arial" w:eastAsia="Arial" w:hAnsi="Arial"/>
                <w:color w:val="1A1A1A"/>
                <w:sz w:val="17"/>
                <w:szCs w:val="17"/>
              </w:rPr>
              <w:t xml:space="preserve">☐ Integração: outorga de irrigação vinculada ao registro de irrigação (US-AG08 e futuro módulo de irrigação avançada), licença de agrotóxicos vinculada ao receituário agronômico do módulo MIP</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Formulário de cadastro de licença: tipo (LP/LI/LO/outorga), órgão emissor, número, validade, fazenda, condicionantes (texto + prazo + status)</w:t>
            </w:r>
          </w:p>
          <w:p>
            <w:pPr>
              <w:spacing w:after="30"/>
            </w:pPr>
            <w:r>
              <w:rPr>
                <w:rFonts w:ascii="Arial" w:cs="Arial" w:eastAsia="Arial" w:hAnsi="Arial"/>
                <w:color w:val="1A1A1A"/>
                <w:sz w:val="17"/>
                <w:szCs w:val="17"/>
              </w:rPr>
              <w:t xml:space="preserve">☐ Lista de licenças: tabela com filtros por tipo, status (vigente/vencendo/vencida), fazenda, badges coloridos</w:t>
            </w:r>
          </w:p>
          <w:p>
            <w:pPr>
              <w:spacing w:after="30"/>
            </w:pPr>
            <w:r>
              <w:rPr>
                <w:rFonts w:ascii="Arial" w:cs="Arial" w:eastAsia="Arial" w:hAnsi="Arial"/>
                <w:color w:val="1A1A1A"/>
                <w:sz w:val="17"/>
                <w:szCs w:val="17"/>
              </w:rPr>
              <w:t xml:space="preserve">☐ Detalhe da licença: tabs com dados gerais, condicionantes (checklist), documentos vinculados (upload PDF), histórico de renovações</w:t>
            </w:r>
          </w:p>
        </w:tc>
      </w:tr>
    </w:tbl>
    <w:p>
      <w:pPr>
        <w:spacing w:after="200"/>
      </w:pPr>
    </w:p>
    <w:p>
      <w:pPr>
        <w:pBdr>
          <w:bottom w:val="single" w:color="4CAF50" w:sz="3" w:space="1"/>
        </w:pBdr>
        <w:spacing w:before="200" w:after="200"/>
      </w:pPr>
    </w:p>
    <w:p>
      <w:pPr>
        <w:pStyle w:val="Heading2"/>
      </w:pPr>
      <w:r>
        <w:t xml:space="preserve">EPIC-F5-04: GTA Digital e Rastreabilidade Animal (SISBOV)</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700"/>
        <w:gridCol w:w="500"/>
        <w:gridCol w:w="476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2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 / Descrição</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US-F508</w:t>
            </w:r>
          </w:p>
        </w:tc>
        <w:tc>
          <w:tcPr>
            <w:tcW w:type="dxa" w:w="27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Emissão e gestão de GTA (Guia de Trânsito Animal)</w:t>
            </w:r>
          </w:p>
          <w:p>
            <w:pPr>
              <w:spacing w:after="30"/>
            </w:pPr>
            <w:r>
              <w:rPr>
                <w:rFonts w:ascii="Arial" w:cs="Arial" w:eastAsia="Arial" w:hAnsi="Arial"/>
                <w:i/>
                <w:iCs/>
                <w:color w:val="1A1A1A"/>
                <w:sz w:val="17"/>
                <w:szCs w:val="17"/>
              </w:rPr>
              <w:t>Como gerente de pecuária ou administrativo, quero emitir GTA diretamente pelo sistema para movimentação de bovinos, integrando com os órgãos estaduais de defesa sanitária, para eu cumpra a obrigação sanitária, tenha rastreabilidade completa de entrada e saída de animais e vincule automaticamente a GTA à movimentação no rebanho e ao financeiro</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Integração com sistemas estaduais de defesa sanitária: emissão de GTA via API/Web Service dos órgãos estaduais (IMA-MG, IDAF-ES, IDA-PR, ADAB-BA etc.). Onde API não disponível, geração do formulário de GTA preenchido para envio manual. Configuração por UF de origem</w:t>
            </w:r>
          </w:p>
          <w:p>
            <w:pPr>
              <w:spacing w:after="30"/>
            </w:pPr>
            <w:r>
              <w:rPr>
                <w:rFonts w:ascii="Arial" w:cs="Arial" w:eastAsia="Arial" w:hAnsi="Arial"/>
                <w:color w:val="1A1A1A"/>
                <w:sz w:val="17"/>
                <w:szCs w:val="17"/>
              </w:rPr>
              <w:t xml:space="preserve">☐ Dados da GTA: espécie (bovino), finalidade (venda, abate, exposição, reprodução, engorda, transferência entre propriedades do mesmo dono, leilão), origem (fazenda do sistema — CNPJ/IE, código IBGE, coordenadas), destino (estabelecimento com dados fiscais), animais (quantidade por categoria: vacas, novilhas, touros, bezerros, machos castrados — ou lista individual com identificação RFID/brinco quando SISBOV), exames sanitários (atestado de brucelose/tuberculose, vacinação aftosa — vinculação ao calendário sanitário do rebanho), transportador (veículo, motorista, placa — vinculação ao cadastro de patrimônio)</w:t>
            </w:r>
          </w:p>
          <w:p>
            <w:pPr>
              <w:spacing w:after="30"/>
            </w:pPr>
            <w:r>
              <w:rPr>
                <w:rFonts w:ascii="Arial" w:cs="Arial" w:eastAsia="Arial" w:hAnsi="Arial"/>
                <w:color w:val="1A1A1A"/>
                <w:sz w:val="17"/>
                <w:szCs w:val="17"/>
              </w:rPr>
              <w:t xml:space="preserve">☐ Pré-requisitos automáticos: sistema valida antes da emissão se vacinação de aftosa está em dia (última campanha), atestado de brucelose vigente (se fêmeas &gt; 24 meses), propriedade livre/monitorada de brucelose/tuberculose (se habilitada). Alerta se documentação sanitária vencida ou incompleta</w:t>
            </w:r>
          </w:p>
          <w:p>
            <w:pPr>
              <w:spacing w:after="30"/>
            </w:pPr>
            <w:r>
              <w:rPr>
                <w:rFonts w:ascii="Arial" w:cs="Arial" w:eastAsia="Arial" w:hAnsi="Arial"/>
                <w:color w:val="1A1A1A"/>
                <w:sz w:val="17"/>
                <w:szCs w:val="17"/>
              </w:rPr>
              <w:t xml:space="preserve">☐ Integração com rebanho: ao confirmar GTA de saída, sistema registra automaticamente a baixa dos animais no rebanho (US-PL03 movimentação) com motivo (venda, transferência), data e GTA vinculada. GTA de entrada registra inclusão no rebanho</w:t>
            </w:r>
          </w:p>
          <w:p>
            <w:pPr>
              <w:spacing w:after="30"/>
            </w:pPr>
            <w:r>
              <w:rPr>
                <w:rFonts w:ascii="Arial" w:cs="Arial" w:eastAsia="Arial" w:hAnsi="Arial"/>
                <w:color w:val="1A1A1A"/>
                <w:sz w:val="17"/>
                <w:szCs w:val="17"/>
              </w:rPr>
              <w:t xml:space="preserve">☐ Integração financeira: GTA de venda vinculada ao CR e à NF-e de saída. GTA de compra vinculada ao CP e à NF-e de entrada. Custo da GTA (taxa de emissão) lançado como despesa</w:t>
            </w:r>
          </w:p>
          <w:p>
            <w:pPr>
              <w:spacing w:after="30"/>
            </w:pPr>
            <w:r>
              <w:rPr>
                <w:rFonts w:ascii="Arial" w:cs="Arial" w:eastAsia="Arial" w:hAnsi="Arial"/>
                <w:color w:val="1A1A1A"/>
                <w:sz w:val="17"/>
                <w:szCs w:val="17"/>
              </w:rPr>
              <w:t xml:space="preserve">☐ Histórico: todas as GTAs emitidas/recebidas com dados completos, status (emitida, em trânsito, encerrada), prazo de validade, download do documento</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Formulário de emissão de GTA: dados do rebanho (espécie, quantidade, categoria, finalidade), origem/destino, veterinário, exames, veículo</w:t>
            </w:r>
          </w:p>
          <w:p>
            <w:pPr>
              <w:spacing w:after="30"/>
            </w:pPr>
            <w:r>
              <w:rPr>
                <w:rFonts w:ascii="Arial" w:cs="Arial" w:eastAsia="Arial" w:hAnsi="Arial"/>
                <w:color w:val="1A1A1A"/>
                <w:sz w:val="17"/>
                <w:szCs w:val="17"/>
              </w:rPr>
              <w:t xml:space="preserve">☐ Lista de GTAs: tabela com filtros (status, período, fazenda, finalidade), download do documento, prazo com alerta</w:t>
            </w:r>
          </w:p>
          <w:p>
            <w:pPr>
              <w:spacing w:after="30"/>
            </w:pPr>
            <w:r>
              <w:rPr>
                <w:rFonts w:ascii="Arial" w:cs="Arial" w:eastAsia="Arial" w:hAnsi="Arial"/>
                <w:color w:val="1A1A1A"/>
                <w:sz w:val="17"/>
                <w:szCs w:val="17"/>
              </w:rPr>
              <w:t xml:space="preserve">☐ Dashboard de movimentação: resumo de GTAs emitidas/recebidas por período, animais movimentados, status de integração</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US-F509</w:t>
            </w:r>
          </w:p>
        </w:tc>
        <w:tc>
          <w:tcPr>
            <w:tcW w:type="dxa" w:w="2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Rastreabilidade SISBOV e certificação para exportação</w:t>
            </w:r>
          </w:p>
          <w:p>
            <w:pPr>
              <w:spacing w:after="30"/>
            </w:pPr>
            <w:r>
              <w:rPr>
                <w:rFonts w:ascii="Arial" w:cs="Arial" w:eastAsia="Arial" w:hAnsi="Arial"/>
                <w:i/>
                <w:iCs/>
                <w:color w:val="1A1A1A"/>
                <w:sz w:val="17"/>
                <w:szCs w:val="17"/>
              </w:rPr>
              <w:t>Como gerente de pecuária de fazenda habilitada para exportação, quero manter a rastreabilidade individual dos animais conforme exigências do SISBOV (Sistema Brasileiro de Identificação e Certificação de Bovinos e Bubalinos), para eu mantenha a habilitação da fazenda para venda a frigoríficos de exportação (Lista TRACES/UE) e tenha evidências auditáveis para o MAPA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47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Identificação individual: cada animal com brinco SISBOV (número oficial de 15 dígitos), vinculado ao RFID e ao cadastro do animal no sistema. Registro da data de aplicação do brinco, certificadora vinculada</w:t>
            </w:r>
          </w:p>
          <w:p>
            <w:pPr>
              <w:spacing w:after="30"/>
            </w:pPr>
            <w:r>
              <w:rPr>
                <w:rFonts w:ascii="Arial" w:cs="Arial" w:eastAsia="Arial" w:hAnsi="Arial"/>
                <w:color w:val="1A1A1A"/>
                <w:sz w:val="17"/>
                <w:szCs w:val="17"/>
              </w:rPr>
              <w:t xml:space="preserve">☐ Movimentação rastreada: toda entrada e saída de animal registrada no BND (Base Nacional de Dados) via certificadora habilitada. Sistema gera arquivo de comunicação de eventos conforme layout da certificadora (nascimento, morte, movimentação, abate)</w:t>
            </w:r>
          </w:p>
          <w:p>
            <w:pPr>
              <w:spacing w:after="30"/>
            </w:pPr>
            <w:r>
              <w:rPr>
                <w:rFonts w:ascii="Arial" w:cs="Arial" w:eastAsia="Arial" w:hAnsi="Arial"/>
                <w:color w:val="1A1A1A"/>
                <w:sz w:val="17"/>
                <w:szCs w:val="17"/>
              </w:rPr>
              <w:t xml:space="preserve">☐ Período de rastreabilidade: controle de dias rastreados na propriedade (mínimo 90 dias para abate em frigorífico habilitado para exportação). Alerta quando animal atinge 90 dias. Cálculo automático baseado na data de entrada na propriedade (GTA de entrada ou nascimento)</w:t>
            </w:r>
          </w:p>
          <w:p>
            <w:pPr>
              <w:spacing w:after="30"/>
            </w:pPr>
            <w:r>
              <w:rPr>
                <w:rFonts w:ascii="Arial" w:cs="Arial" w:eastAsia="Arial" w:hAnsi="Arial"/>
                <w:color w:val="1A1A1A"/>
                <w:sz w:val="17"/>
                <w:szCs w:val="17"/>
              </w:rPr>
              <w:t xml:space="preserve">☐ Manejo alimentar: registro de alimentação (apenas pastagem e suplementos sem proteína de origem animal — exigência SISBOV). Vinculação com dietas cadastradas (US-091) com flag de conformidade SISBOV</w:t>
            </w:r>
          </w:p>
          <w:p>
            <w:pPr>
              <w:spacing w:after="30"/>
            </w:pPr>
            <w:r>
              <w:rPr>
                <w:rFonts w:ascii="Arial" w:cs="Arial" w:eastAsia="Arial" w:hAnsi="Arial"/>
                <w:color w:val="1A1A1A"/>
                <w:sz w:val="17"/>
                <w:szCs w:val="17"/>
              </w:rPr>
              <w:t xml:space="preserve">☐ Relatórios para auditoria: inventário SISBOV atualizado (animais rastreados × não rastreados), histórico de movimentações por animal, ficha individual com todos os eventos, relatório de conformidade para visita do fiscal do MAPA</w:t>
            </w:r>
          </w:p>
          <w:p>
            <w:pPr>
              <w:spacing w:after="30"/>
            </w:pPr>
            <w:r>
              <w:rPr>
                <w:rFonts w:ascii="Arial" w:cs="Arial" w:eastAsia="Arial" w:hAnsi="Arial"/>
                <w:color w:val="1A1A1A"/>
                <w:sz w:val="17"/>
                <w:szCs w:val="17"/>
              </w:rPr>
              <w:t xml:space="preserve">☐ Integração com GTA (US-F508): GTA de animais SISBOV inclui número de identificação individual, certificadora notificada automaticamente da movimentação</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Tela de inventário SISBOV: lista de animais rastreados vs. não rastreados, filtros por lote/categoria/status, progresso</w:t>
            </w:r>
          </w:p>
          <w:p>
            <w:pPr>
              <w:spacing w:after="30"/>
            </w:pPr>
            <w:r>
              <w:rPr>
                <w:rFonts w:ascii="Arial" w:cs="Arial" w:eastAsia="Arial" w:hAnsi="Arial"/>
                <w:color w:val="1A1A1A"/>
                <w:sz w:val="17"/>
                <w:szCs w:val="17"/>
              </w:rPr>
              <w:t xml:space="preserve">☐ Ficha individual SISBOV: timeline de eventos do animal (identificação, movimentações, manejos)</w:t>
            </w:r>
          </w:p>
          <w:p>
            <w:pPr>
              <w:spacing w:after="30"/>
            </w:pPr>
            <w:r>
              <w:rPr>
                <w:rFonts w:ascii="Arial" w:cs="Arial" w:eastAsia="Arial" w:hAnsi="Arial"/>
                <w:color w:val="1A1A1A"/>
                <w:sz w:val="17"/>
                <w:szCs w:val="17"/>
              </w:rPr>
              <w:t xml:space="preserve">☐ Relatório de conformidade: checklist de requisitos SISBOV por animal/lote com status, exportação para auditoria</w:t>
            </w:r>
          </w:p>
        </w:tc>
      </w:tr>
    </w:tbl>
    <w:p>
      <w:pPr>
        <w:spacing w:after="200"/>
      </w:pPr>
    </w:p>
    <w:p>
      <w:pPr>
        <w:pBdr>
          <w:bottom w:val="single" w:color="4CAF50" w:sz="3" w:space="1"/>
        </w:pBdr>
        <w:spacing w:before="200" w:after="200"/>
      </w:pPr>
    </w:p>
    <w:p>
      <w:pPr>
        <w:pStyle w:val="Heading2"/>
      </w:pPr>
      <w:r>
        <w:t xml:space="preserve">EPIC-F5-05: Gestão de Certificações e Auditorias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700"/>
        <w:gridCol w:w="500"/>
        <w:gridCol w:w="476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2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 / Descrição</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US-F510</w:t>
            </w:r>
          </w:p>
        </w:tc>
        <w:tc>
          <w:tcPr>
            <w:tcW w:type="dxa" w:w="27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Workflows de certificação e auditorias internas</w:t>
            </w:r>
          </w:p>
          <w:p>
            <w:pPr>
              <w:spacing w:after="30"/>
            </w:pPr>
            <w:r>
              <w:rPr>
                <w:rFonts w:ascii="Arial" w:cs="Arial" w:eastAsia="Arial" w:hAnsi="Arial"/>
                <w:i/>
                <w:iCs/>
                <w:color w:val="1A1A1A"/>
                <w:sz w:val="17"/>
                <w:szCs w:val="17"/>
              </w:rPr>
              <w:t>Como gerente de qualidade ou proprietário, quero gerenciar os processos de certificação (Rainforest Alliance, UTZ, GlobalG.A.P., 4C, Certifica Minas Café) com checklists estruturados e evidências anexadas, para eu me prepare adequadamente para auditorias externas, mantenha conformidade contínua e não perca certificações por falha documental</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Cadastro de certificação: tipo (Rainforest Alliance, UTZ/Rainforest merged, GlobalG.A.P., 4C, Certifica Minas Café, orgânico IBD/Ecocert, Fair Trade, Bonsucro, outro customizável), certificadora, número do certificado, data de emissão, data de validade, escopo (fazendas, culturas, processos cobertos), status (vigente, em renovação, suspensa, cancelada)</w:t>
            </w:r>
          </w:p>
          <w:p>
            <w:pPr>
              <w:spacing w:after="30"/>
            </w:pPr>
            <w:r>
              <w:rPr>
                <w:rFonts w:ascii="Arial" w:cs="Arial" w:eastAsia="Arial" w:hAnsi="Arial"/>
                <w:color w:val="1A1A1A"/>
                <w:sz w:val="17"/>
                <w:szCs w:val="17"/>
              </w:rPr>
              <w:t xml:space="preserve">☐ Checklists por certificação: lista de requisitos estruturada por capítulo/seção conforme o padrão da certificação. Cada item com: código do requisito, descrição, criticidade (obrigatório/recomendado/informativo), status (conforme/não conforme/em andamento/não aplicável), evidência anexada (documento, foto, registro do sistema), responsável, prazo para adequação</w:t>
            </w:r>
          </w:p>
          <w:p>
            <w:pPr>
              <w:spacing w:after="30"/>
            </w:pPr>
            <w:r>
              <w:rPr>
                <w:rFonts w:ascii="Arial" w:cs="Arial" w:eastAsia="Arial" w:hAnsi="Arial"/>
                <w:color w:val="1A1A1A"/>
                <w:sz w:val="17"/>
                <w:szCs w:val="17"/>
              </w:rPr>
              <w:t xml:space="preserve">☐ Checklists pré-carregados: templates com requisitos das certificações mais comuns (Rainforest Alliance 2020, GlobalG.A.P. IFA v6, 4C v4), editáveis pelo gestor de qualidade. Mapeamento automático: requisitos que podem ser atendidos por dados já existentes no sistema (ex.: registro de aplicação de defensivos → evidência automática para requisito de MIP da Rainforest)</w:t>
            </w:r>
          </w:p>
          <w:p>
            <w:pPr>
              <w:spacing w:after="30"/>
            </w:pPr>
            <w:r>
              <w:rPr>
                <w:rFonts w:ascii="Arial" w:cs="Arial" w:eastAsia="Arial" w:hAnsi="Arial"/>
                <w:color w:val="1A1A1A"/>
                <w:sz w:val="17"/>
                <w:szCs w:val="17"/>
              </w:rPr>
              <w:t xml:space="preserve">☐ Auditoria interna: agendar auditoria interna com data, auditor (interno ou externo), escopo, checklist selecionado. Registrar resultado por item (conforme/não conforme com foto e observação). Gerar relatório de auditoria interna (PDF) com % de conformidade, não conformidades detalhadas, plano de ação</w:t>
            </w:r>
          </w:p>
          <w:p>
            <w:pPr>
              <w:spacing w:after="30"/>
            </w:pPr>
            <w:r>
              <w:rPr>
                <w:rFonts w:ascii="Arial" w:cs="Arial" w:eastAsia="Arial" w:hAnsi="Arial"/>
                <w:color w:val="1A1A1A"/>
                <w:sz w:val="17"/>
                <w:szCs w:val="17"/>
              </w:rPr>
              <w:t xml:space="preserve">☐ Plano de ação: para cada não conformidade, registrar ação corretiva com responsável, prazo, status (pendente/em execução/concluída/verificada), evidência de conclusão. Alerta de prazo vencendo. Dashboard de conformidade: % por capítulo, itens críticos pendentes, evolução temporal</w:t>
            </w:r>
          </w:p>
          <w:p>
            <w:pPr>
              <w:spacing w:after="30"/>
            </w:pPr>
            <w:r>
              <w:rPr>
                <w:rFonts w:ascii="Arial" w:cs="Arial" w:eastAsia="Arial" w:hAnsi="Arial"/>
                <w:color w:val="1A1A1A"/>
                <w:sz w:val="17"/>
                <w:szCs w:val="17"/>
              </w:rPr>
              <w:t xml:space="preserve">☐ Preparação para auditoria externa: relatório consolidado com todas as evidências organizadas por requisito, check de documentos obrigatórios (licenças, treinamentos, registros), lista de pendências para resolver antes da auditoria</w:t>
            </w:r>
          </w:p>
        </w:tc>
      </w:tr>
    </w:tbl>
    <w:p>
      <w:pPr>
        <w:spacing w:after="200"/>
      </w:pPr>
    </w:p>
    <w:p>
      <w:pPr>
        <w:pBdr>
          <w:bottom w:val="single" w:color="4CAF50" w:sz="3" w:space="1"/>
        </w:pBdr>
        <w:spacing w:before="200" w:after="200"/>
      </w:pPr>
    </w:p>
    <w:p>
      <w:pPr>
        <w:pStyle w:val="Heading2"/>
      </w:pPr>
      <w:r>
        <w:t xml:space="preserve">EPIC-F5-06: Rastreabilidade ESG e Sustentabilidade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700"/>
        <w:gridCol w:w="500"/>
        <w:gridCol w:w="476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2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 / Descrição</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US-F511</w:t>
            </w:r>
          </w:p>
        </w:tc>
        <w:tc>
          <w:tcPr>
            <w:tcW w:type="dxa" w:w="27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Cálculo de emissões de GEE e pegada de carbono</w:t>
            </w:r>
          </w:p>
          <w:p>
            <w:pPr>
              <w:spacing w:after="30"/>
            </w:pPr>
            <w:r>
              <w:rPr>
                <w:rFonts w:ascii="Arial" w:cs="Arial" w:eastAsia="Arial" w:hAnsi="Arial"/>
                <w:i/>
                <w:iCs/>
                <w:color w:val="1A1A1A"/>
                <w:sz w:val="17"/>
                <w:szCs w:val="17"/>
              </w:rPr>
              <w:t>Como gestor ambiental ou proprietário, quero calcular as emissões de gases de efeito estufa (GEE) por atividade da fazenda, para eu atenda demandas de compradores e certificadoras por relatórios de sustentabilidade e identifique oportunidades de redução de emissões e créditos de carbono</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Fontes de emissão calculadas: fermentação entérica do rebanho (metano — fator por categoria animal × nº de cabeças, conforme IPCC Tier 1 ou Tier 2), manejo de dejetos (lagoas, compostagem, esterqueira — fator por tipo de sistema), uso de fertilizantes nitrogenados (N2O — fator por kg de N aplicado), consumo de combustível fóssil (CO2 — litros × fator de emissão por tipo de combustível), calagem (CO2 — kg de calcário × fator), queima de resíduos agrícolas (se praticada), consumo de energia elétrica (CO2 — kWh × fator da matriz energética)</w:t>
            </w:r>
          </w:p>
          <w:p>
            <w:pPr>
              <w:spacing w:after="30"/>
            </w:pPr>
            <w:r>
              <w:rPr>
                <w:rFonts w:ascii="Arial" w:cs="Arial" w:eastAsia="Arial" w:hAnsi="Arial"/>
                <w:color w:val="1A1A1A"/>
                <w:sz w:val="17"/>
                <w:szCs w:val="17"/>
              </w:rPr>
              <w:t xml:space="preserve">☐ Sumidouros (sequestro de carbono): área de vegetação nativa preservada (APP, Reserva Legal, RPPN) — estimativa de sequestro por bioma/hectare, plantio de árvores (silvipastoril, reflorestamento) — carbono acumulado por idade e espécie. Saldo líquido: emissões – sequestro = pegada de carbono líquida</w:t>
            </w:r>
          </w:p>
          <w:p>
            <w:pPr>
              <w:spacing w:after="30"/>
            </w:pPr>
            <w:r>
              <w:rPr>
                <w:rFonts w:ascii="Arial" w:cs="Arial" w:eastAsia="Arial" w:hAnsi="Arial"/>
                <w:color w:val="1A1A1A"/>
                <w:sz w:val="17"/>
                <w:szCs w:val="17"/>
              </w:rPr>
              <w:t xml:space="preserve">☐ Dados alimentados automaticamente: nº de animais por categoria (do rebanho), litros de combustível consumido (do módulo de abastecimento US-F411), kg de fertilizante nitrogenado aplicado (das operações de adubação US-AG06), kg de calcário aplicado (das operações de calagem), área de vegetação nativa (do CAR US-F506), kWh de energia (do módulo financeiro — CP de energia elétrica)</w:t>
            </w:r>
          </w:p>
          <w:p>
            <w:pPr>
              <w:spacing w:after="30"/>
            </w:pPr>
            <w:r>
              <w:rPr>
                <w:rFonts w:ascii="Arial" w:cs="Arial" w:eastAsia="Arial" w:hAnsi="Arial"/>
                <w:color w:val="1A1A1A"/>
                <w:sz w:val="17"/>
                <w:szCs w:val="17"/>
              </w:rPr>
              <w:t xml:space="preserve">☐ Relatório de emissões: emissões totais em tCO2e (toneladas de CO2 equivalente) por ano, emissões por fonte (gráfico pizza), emissões por hectare, emissões por arroba/litro de leite/saca produzida (intensidade de carbono), evolução temporal (comparativo ano a ano)</w:t>
            </w:r>
          </w:p>
          <w:p>
            <w:pPr>
              <w:spacing w:after="30"/>
            </w:pPr>
            <w:r>
              <w:rPr>
                <w:rFonts w:ascii="Arial" w:cs="Arial" w:eastAsia="Arial" w:hAnsi="Arial"/>
                <w:color w:val="1A1A1A"/>
                <w:sz w:val="17"/>
                <w:szCs w:val="17"/>
              </w:rPr>
              <w:t xml:space="preserve">☐ Benchmark: comparação com médias do setor (Embrapa/ICLF), identificação de oportunidades de redução (ex.: integração lavoura-pecuária-floresta, biodigestores, substituição de fertilizante mineral por orgânico)</w:t>
            </w:r>
          </w:p>
          <w:p>
            <w:pPr>
              <w:spacing w:after="30"/>
            </w:pPr>
            <w:r>
              <w:rPr>
                <w:rFonts w:ascii="Arial" w:cs="Arial" w:eastAsia="Arial" w:hAnsi="Arial"/>
                <w:color w:val="1A1A1A"/>
                <w:sz w:val="17"/>
                <w:szCs w:val="17"/>
              </w:rPr>
              <w:t xml:space="preserve">☐ Exportação: relatório ESG em formato compatível com GRI, CDP ou ISE (B3), para uso em relatórios de sustentabilidade corporativa ou solicitação de créditos de carbono</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Dashboard de emissões: cards com total tCO2e/ano, emissões por fonte (gráfico pizza), por ha/arroba/litro, evolução temporal</w:t>
            </w:r>
          </w:p>
          <w:p>
            <w:pPr>
              <w:spacing w:after="30"/>
            </w:pPr>
            <w:r>
              <w:rPr>
                <w:rFonts w:ascii="Arial" w:cs="Arial" w:eastAsia="Arial" w:hAnsi="Arial"/>
                <w:color w:val="1A1A1A"/>
                <w:sz w:val="17"/>
                <w:szCs w:val="17"/>
              </w:rPr>
              <w:t xml:space="preserve">☐ Formulário de entrada manual: dados não auto-populados (consumo de lenha, queimadas, pastagem degradada)</w:t>
            </w:r>
          </w:p>
          <w:p>
            <w:pPr>
              <w:spacing w:after="30"/>
            </w:pPr>
            <w:r>
              <w:rPr>
                <w:rFonts w:ascii="Arial" w:cs="Arial" w:eastAsia="Arial" w:hAnsi="Arial"/>
                <w:color w:val="1A1A1A"/>
                <w:sz w:val="17"/>
                <w:szCs w:val="17"/>
              </w:rPr>
              <w:t xml:space="preserve">☐ Relatório ESG: preview em tela do relatório formatado (GRI/CDP), exportação PDF com gráficos e dados consolidados</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US-F512</w:t>
            </w:r>
          </w:p>
        </w:tc>
        <w:tc>
          <w:tcPr>
            <w:tcW w:type="dxa" w:w="2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Logística reversa de embalagens e gestão de resíduos</w:t>
            </w:r>
          </w:p>
          <w:p>
            <w:pPr>
              <w:spacing w:after="30"/>
            </w:pPr>
            <w:r>
              <w:rPr>
                <w:rFonts w:ascii="Arial" w:cs="Arial" w:eastAsia="Arial" w:hAnsi="Arial"/>
                <w:i/>
                <w:iCs/>
                <w:color w:val="1A1A1A"/>
                <w:sz w:val="17"/>
                <w:szCs w:val="17"/>
              </w:rPr>
              <w:t>Como gerente ambiental ou responsável técnico, quero controlar a destinação de embalagens de defensivos agrícolas e demais resíduos da fazenda, para eu cumpra a legislação de logística reversa (Lei 7.802/89, Decreto 4.074/02), apresente comprovantes em auditorias e evite multas do IBAMA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47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Registro de embalagens: ao registrar saída de defensivo do estoque (US-078), sistema contabiliza automaticamente as embalagens geradas (tipo: plástico/metálica/vidro, volume, tríplice lavagem sim/não). Vinculação ao inpEV (Instituto Nacional de Processamento de Embalagens Vazias)</w:t>
            </w:r>
          </w:p>
          <w:p>
            <w:pPr>
              <w:spacing w:after="30"/>
            </w:pPr>
            <w:r>
              <w:rPr>
                <w:rFonts w:ascii="Arial" w:cs="Arial" w:eastAsia="Arial" w:hAnsi="Arial"/>
                <w:color w:val="1A1A1A"/>
                <w:sz w:val="17"/>
                <w:szCs w:val="17"/>
              </w:rPr>
              <w:t xml:space="preserve">☐ Devolução: registro da devolução de embalagens à central/posto de recebimento (data, quantidade, tipo, comprovante de devolução). Comprovante digitalizado (upload). Reconciliação: embalagens compradas × embalagens devolvidas. Alerta de embalagens pendentes de devolução &gt; X meses</w:t>
            </w:r>
          </w:p>
          <w:p>
            <w:pPr>
              <w:spacing w:after="30"/>
            </w:pPr>
            <w:r>
              <w:rPr>
                <w:rFonts w:ascii="Arial" w:cs="Arial" w:eastAsia="Arial" w:hAnsi="Arial"/>
                <w:color w:val="1A1A1A"/>
                <w:sz w:val="17"/>
                <w:szCs w:val="17"/>
              </w:rPr>
              <w:t xml:space="preserve">☐ Outros resíduos: registro de resíduos não embalagem (óleo lubrificante usado, pneus, baterias, resíduos orgânicos), destinação (reciclagem, coprocessamento, aterro, compostagem), empresa destinadora (com CNPJ e licença ambiental), manifesto de transporte de resíduos (MTR)</w:t>
            </w:r>
          </w:p>
          <w:p>
            <w:pPr>
              <w:spacing w:after="30"/>
            </w:pPr>
            <w:r>
              <w:rPr>
                <w:rFonts w:ascii="Arial" w:cs="Arial" w:eastAsia="Arial" w:hAnsi="Arial"/>
                <w:color w:val="1A1A1A"/>
                <w:sz w:val="17"/>
                <w:szCs w:val="17"/>
              </w:rPr>
              <w:t xml:space="preserve">☐ Relatório ambiental: total de embalagens geradas × devolvidas por período, % de conformidade (meta: 100%), resíduos por tipo e destinação, comprovantes organizados para auditoria. Exportação PDF para órgão ambiental</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Tela de controle de embalagens: tabela de embalagens compradas vs. devolvidas por período, saldo pendente de devolução</w:t>
            </w:r>
          </w:p>
          <w:p>
            <w:pPr>
              <w:spacing w:after="30"/>
            </w:pPr>
            <w:r>
              <w:rPr>
                <w:rFonts w:ascii="Arial" w:cs="Arial" w:eastAsia="Arial" w:hAnsi="Arial"/>
                <w:color w:val="1A1A1A"/>
                <w:sz w:val="17"/>
                <w:szCs w:val="17"/>
              </w:rPr>
              <w:t xml:space="preserve">☐ Formulário de registro de devolução: data, posto/central de recebimento, quantidade, upload de comprovante (foto/PDF)</w:t>
            </w:r>
          </w:p>
          <w:p>
            <w:pPr>
              <w:spacing w:after="30"/>
            </w:pPr>
            <w:r>
              <w:rPr>
                <w:rFonts w:ascii="Arial" w:cs="Arial" w:eastAsia="Arial" w:hAnsi="Arial"/>
                <w:color w:val="1A1A1A"/>
                <w:sz w:val="17"/>
                <w:szCs w:val="17"/>
              </w:rPr>
              <w:t xml:space="preserve">☐ Relatório ambiental: consolidado anual com gráfico de evolução da taxa de devolução, exportação PDF para compliance inpEV</w:t>
            </w:r>
          </w:p>
        </w:tc>
      </w:tr>
    </w:tbl>
    <w:p>
      <w:pPr>
        <w:spacing w:after="200"/>
      </w:pPr>
    </w:p>
    <w:p>
      <w:pPr>
        <w:pBdr>
          <w:bottom w:val="single" w:color="4CAF50" w:sz="3" w:space="1"/>
        </w:pBdr>
        <w:spacing w:before="200" w:after="200"/>
      </w:pPr>
    </w:p>
    <w:p>
      <w:pPr>
        <w:pStyle w:val="Heading2"/>
      </w:pPr>
      <w:r>
        <w:t xml:space="preserve">EPIC-F5-07: Telemetria Básica e Rastreamento de Máquinas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700"/>
        <w:gridCol w:w="500"/>
        <w:gridCol w:w="476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2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 / Descrição</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US-F513</w:t>
            </w:r>
          </w:p>
        </w:tc>
        <w:tc>
          <w:tcPr>
            <w:tcW w:type="dxa" w:w="27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Rastreamento GPS e telemetria básica de máquinas agrícolas</w:t>
            </w:r>
          </w:p>
          <w:p>
            <w:pPr>
              <w:spacing w:after="30"/>
            </w:pPr>
            <w:r>
              <w:rPr>
                <w:rFonts w:ascii="Arial" w:cs="Arial" w:eastAsia="Arial" w:hAnsi="Arial"/>
                <w:i/>
                <w:iCs/>
                <w:color w:val="1A1A1A"/>
                <w:sz w:val="17"/>
                <w:szCs w:val="17"/>
              </w:rPr>
              <w:t>Como gerente de frota ou de operações, quero rastrear a localização das máquinas em tempo real e receber dados telemétricos básicos (horímetro, velocidade, status), para eu saiba onde cada máquina está, quanto tempo opera por dia, identifique ociosidade e alimente automaticamente o controle de horas trabalhadas</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Cadastro de dispositivo de rastreamento: tipo (rastreador GPS veicular, módulo telemático OEM, smartphone fixo na máquina), fabricante/modelo, IMEI/ID, máquina vinculada (US-PT01), protocolo (MQTT, HTTP, TCP socket), intervalo de envio de posição (30s, 1min, 5min — configurável para otimizar consumo de dados)</w:t>
            </w:r>
          </w:p>
          <w:p>
            <w:pPr>
              <w:spacing w:after="30"/>
            </w:pPr>
            <w:r>
              <w:rPr>
                <w:rFonts w:ascii="Arial" w:cs="Arial" w:eastAsia="Arial" w:hAnsi="Arial"/>
                <w:color w:val="1A1A1A"/>
                <w:sz w:val="17"/>
                <w:szCs w:val="17"/>
              </w:rPr>
              <w:t xml:space="preserve">☐ Mapa em tempo real: visualização de todas as máquinas no mapa (ícone com nome/número), status por cor (verde = operando, amarelo = parada com motor ligado, cinza = desligada), último posicionamento quando offline, filtro por fazenda, tipo de máquina e status</w:t>
            </w:r>
          </w:p>
          <w:p>
            <w:pPr>
              <w:spacing w:after="30"/>
            </w:pPr>
            <w:r>
              <w:rPr>
                <w:rFonts w:ascii="Arial" w:cs="Arial" w:eastAsia="Arial" w:hAnsi="Arial"/>
                <w:color w:val="1A1A1A"/>
                <w:sz w:val="17"/>
                <w:szCs w:val="17"/>
              </w:rPr>
              <w:t xml:space="preserve">☐ Dados telemétricos básicos: posição GPS (latitude, longitude, precisão), velocidade (km/h), horímetro (quando disponível via CAN bus ou integração OEM), ignição (ligado/desligado), timestamp. Para integrações avançadas (John Deere Operations Center, Case IH AFS Connect, AGCO Fuse): importar dados via API (horímetro, área trabalhada, consumo de combustível estimado)</w:t>
            </w:r>
          </w:p>
          <w:p>
            <w:pPr>
              <w:spacing w:after="30"/>
            </w:pPr>
            <w:r>
              <w:rPr>
                <w:rFonts w:ascii="Arial" w:cs="Arial" w:eastAsia="Arial" w:hAnsi="Arial"/>
                <w:color w:val="1A1A1A"/>
                <w:sz w:val="17"/>
                <w:szCs w:val="17"/>
              </w:rPr>
              <w:t xml:space="preserve">☐ Cercas virtuais (geofence): definir áreas permitidas por máquina (polígono no mapa — tipicamente perímetro da fazenda). Alerta se máquina sair da cerca virtual. Alerta se máquina operar em área de APP (sobreposição com CAR US-F506)</w:t>
            </w:r>
          </w:p>
          <w:p>
            <w:pPr>
              <w:spacing w:after="30"/>
            </w:pPr>
            <w:r>
              <w:rPr>
                <w:rFonts w:ascii="Arial" w:cs="Arial" w:eastAsia="Arial" w:hAnsi="Arial"/>
                <w:color w:val="1A1A1A"/>
                <w:sz w:val="17"/>
                <w:szCs w:val="17"/>
              </w:rPr>
              <w:t xml:space="preserve">☐ Histórico de trajetos: replay do percurso da máquina por período (animação no mapa), pontos de parada identificados (parada &gt; X minutos), área percorrida estimada (para comparar com registro de operação)</w:t>
            </w:r>
          </w:p>
          <w:p>
            <w:pPr>
              <w:spacing w:after="30"/>
            </w:pPr>
            <w:r>
              <w:rPr>
                <w:rFonts w:ascii="Arial" w:cs="Arial" w:eastAsia="Arial" w:hAnsi="Arial"/>
                <w:color w:val="1A1A1A"/>
                <w:sz w:val="17"/>
                <w:szCs w:val="17"/>
              </w:rPr>
              <w:t xml:space="preserve">☐ Horímetro automático: cálculo de horas trabalhadas por dia baseado em ignição + movimento (substitui ou complementa horímetro manual US-PT02). Reconciliação: horímetro do rastreador vs. horímetro manual — alerta de divergência &gt; 10%</w:t>
            </w:r>
          </w:p>
          <w:p>
            <w:pPr>
              <w:spacing w:after="30"/>
            </w:pPr>
            <w:r>
              <w:rPr>
                <w:rFonts w:ascii="Arial" w:cs="Arial" w:eastAsia="Arial" w:hAnsi="Arial"/>
                <w:color w:val="1A1A1A"/>
                <w:sz w:val="17"/>
                <w:szCs w:val="17"/>
              </w:rPr>
              <w:t xml:space="preserve">☐ Relatórios: horas de operação por máquina/dia/semana/mês, tempo parado vs. operando (% utilização), km percorridos (veículos), alertas de geofence por período. Integração com custo por hora (US-PT02) e abastecimento (US-F411) para custo operacional completo</w:t>
            </w:r>
          </w:p>
        </w:tc>
      </w:tr>
    </w:tbl>
    <w:p>
      <w:pPr>
        <w:spacing w:after="200"/>
      </w:pPr>
    </w:p>
    <w:p>
      <w:pPr>
        <w:pBdr>
          <w:bottom w:val="single" w:color="4CAF50" w:sz="3" w:space="1"/>
        </w:pBdr>
        <w:spacing w:before="200" w:after="200"/>
      </w:pPr>
    </w:p>
    <w:p>
      <w:pPr>
        <w:pStyle w:val="Heading2"/>
      </w:pPr>
      <w:r>
        <w:t xml:space="preserve">EPIC-F5-08: Gestão de Irrigação Avançada</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700"/>
        <w:gridCol w:w="500"/>
        <w:gridCol w:w="476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2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 / Descrição</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US-F514</w:t>
            </w:r>
          </w:p>
        </w:tc>
        <w:tc>
          <w:tcPr>
            <w:tcW w:type="dxa" w:w="27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Controle de irrigação com sensores e balanço hídrico</w:t>
            </w:r>
          </w:p>
          <w:p>
            <w:pPr>
              <w:spacing w:after="30"/>
            </w:pPr>
            <w:r>
              <w:rPr>
                <w:rFonts w:ascii="Arial" w:cs="Arial" w:eastAsia="Arial" w:hAnsi="Arial"/>
                <w:i/>
                <w:iCs/>
                <w:color w:val="1A1A1A"/>
                <w:sz w:val="17"/>
                <w:szCs w:val="17"/>
              </w:rPr>
              <w:t>Como gerente de irrigação ou agrônomo, quero controlar a irrigação com dados de sensores de umidade do solo, cálculo de evapotranspiração e balanço hídrico, para eu irrigue na quantidade certa e no momento ideal, economizando água e energia sem comprometer a produtividade</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Cadastro do sistema de irrigação: tipo (pivô central, gotejamento, aspersão convencional, microaspersão, sulco, autopropelido), fabricante/modelo, área irrigada (ha), vazão nominal (m³/h), pressão de serviço (bar), energia (elétrica kW / diesel L/h), talhões atendidos, eficiência de aplicação estimada (%), lâmina máxima por volta (mm)</w:t>
            </w:r>
          </w:p>
          <w:p>
            <w:pPr>
              <w:spacing w:after="30"/>
            </w:pPr>
            <w:r>
              <w:rPr>
                <w:rFonts w:ascii="Arial" w:cs="Arial" w:eastAsia="Arial" w:hAnsi="Arial"/>
                <w:color w:val="1A1A1A"/>
                <w:sz w:val="17"/>
                <w:szCs w:val="17"/>
              </w:rPr>
              <w:t xml:space="preserve">☐ Registro de operação de irrigação: data/hora início e fim, sistema utilizado, talhão, lâmina aplicada (mm), volume total (m³), consumo de energia (kWh ou litros diesel), operador, observações. Registro manual via app ou automático via integração com controlador do pivô</w:t>
            </w:r>
          </w:p>
          <w:p>
            <w:pPr>
              <w:spacing w:after="30"/>
            </w:pPr>
            <w:r>
              <w:rPr>
                <w:rFonts w:ascii="Arial" w:cs="Arial" w:eastAsia="Arial" w:hAnsi="Arial"/>
                <w:color w:val="1A1A1A"/>
                <w:sz w:val="17"/>
                <w:szCs w:val="17"/>
              </w:rPr>
              <w:t xml:space="preserve">☐ Integração com sensores de solo: cadastro de sensores (tensiômetro, TDR, capacitivo — fabricante, modelo, profundidade instalada, talhão, protocolo), leitura de umidade do solo em tempo real (% ou kPa), gráfico de umidade ao longo do dia/semana com limites (capacidade de campo, ponto de murcha permanente, faixa ideal). Alerta quando umidade abaixo do limite inferior (hora de irrigar) ou acima do limite superior (excesso)</w:t>
            </w:r>
          </w:p>
          <w:p>
            <w:pPr>
              <w:spacing w:after="30"/>
            </w:pPr>
            <w:r>
              <w:rPr>
                <w:rFonts w:ascii="Arial" w:cs="Arial" w:eastAsia="Arial" w:hAnsi="Arial"/>
                <w:color w:val="1A1A1A"/>
                <w:sz w:val="17"/>
                <w:szCs w:val="17"/>
              </w:rPr>
              <w:t xml:space="preserve">☐ Balanço hídrico do talhão: cálculo diário = precipitação + irrigação – evapotranspiração da cultura (ETc = ETo × Kc, onde ETo vem da estação meteorológica US-F404 e Kc é o coeficiente da cultura por estágio fenológico — tabela FAO-56 pré-carregada). Deficit hídrico acumulado visualizado em gráfico, com recomendação de lâmina a aplicar</w:t>
            </w:r>
          </w:p>
          <w:p>
            <w:pPr>
              <w:spacing w:after="30"/>
            </w:pPr>
            <w:r>
              <w:rPr>
                <w:rFonts w:ascii="Arial" w:cs="Arial" w:eastAsia="Arial" w:hAnsi="Arial"/>
                <w:color w:val="1A1A1A"/>
                <w:sz w:val="17"/>
                <w:szCs w:val="17"/>
              </w:rPr>
              <w:t xml:space="preserve">☐ Fertirrigação: registro de aplicação de fertilizantes via irrigação (produto, dose, diluição, talhão, lâmina veículo). Integração com estoque de insumos (US-078 — baixa automática do fertilizante)</w:t>
            </w:r>
          </w:p>
          <w:p>
            <w:pPr>
              <w:spacing w:after="30"/>
            </w:pPr>
            <w:r>
              <w:rPr>
                <w:rFonts w:ascii="Arial" w:cs="Arial" w:eastAsia="Arial" w:hAnsi="Arial"/>
                <w:color w:val="1A1A1A"/>
                <w:sz w:val="17"/>
                <w:szCs w:val="17"/>
              </w:rPr>
              <w:t xml:space="preserve">☐ Controle de pivôs: status (operando, parado, em manutenção), posição do braço (graus — se integrado com controlador), setor atual, alertas de falha (desligamento por vento, falta de energia, pressão baixa). Detecção de pivô parado via imagens de satélite NDVI (manchas circulares com NDVI mais baixo = pivô com problemas)</w:t>
            </w:r>
          </w:p>
          <w:p>
            <w:pPr>
              <w:spacing w:after="30"/>
            </w:pPr>
            <w:r>
              <w:rPr>
                <w:rFonts w:ascii="Arial" w:cs="Arial" w:eastAsia="Arial" w:hAnsi="Arial"/>
                <w:color w:val="1A1A1A"/>
                <w:sz w:val="17"/>
                <w:szCs w:val="17"/>
              </w:rPr>
              <w:t xml:space="preserve">☐ Relatórios: consumo de água por talhão/cultura/período (m³ e mm), custo de irrigação (energia + mão de obra + manutenção), eficiência do uso da água (kg produzido / m³ de água), compliance com outorga (volume utilizado vs. volume autorizado US-F507)</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Formulário de cadastro de sistema de irrigação: tipo (pivô/gotejo/aspersão), fazenda, talhões cobertos, capacidade, vazão</w:t>
            </w:r>
          </w:p>
          <w:p>
            <w:pPr>
              <w:spacing w:after="30"/>
            </w:pPr>
            <w:r>
              <w:rPr>
                <w:rFonts w:ascii="Arial" w:cs="Arial" w:eastAsia="Arial" w:hAnsi="Arial"/>
                <w:color w:val="1A1A1A"/>
                <w:sz w:val="17"/>
                <w:szCs w:val="17"/>
              </w:rPr>
              <w:t xml:space="preserve">☐ Formulário de cadastro de sensores: tipo, localização (pin no mapa do talhão), profundidade, modelo, protocolo</w:t>
            </w:r>
          </w:p>
          <w:p>
            <w:pPr>
              <w:spacing w:after="30"/>
            </w:pPr>
            <w:r>
              <w:rPr>
                <w:rFonts w:ascii="Arial" w:cs="Arial" w:eastAsia="Arial" w:hAnsi="Arial"/>
                <w:color w:val="1A1A1A"/>
                <w:sz w:val="17"/>
                <w:szCs w:val="17"/>
              </w:rPr>
              <w:t xml:space="preserve">☐ Painel de monitoramento: status de cada pivô/sistema (operando/parado/manutenção), posição do braço para pivô central, alertas</w:t>
            </w:r>
          </w:p>
        </w:tc>
      </w:tr>
    </w:tbl>
    <w:p>
      <w:pPr>
        <w:spacing w:after="200"/>
      </w:pPr>
    </w:p>
    <w:p>
      <w:pPr>
        <w:pBdr>
          <w:bottom w:val="single" w:color="4CAF50" w:sz="3" w:space="1"/>
        </w:pBdr>
        <w:spacing w:before="200" w:after="200"/>
      </w:pPr>
    </w:p>
    <w:p>
      <w:pPr>
        <w:pStyle w:val="Heading2"/>
      </w:pPr>
      <w:r>
        <w:t xml:space="preserve">EPIC-F5-09: Exportação Contábil e Integração com Escritórios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700"/>
        <w:gridCol w:w="500"/>
        <w:gridCol w:w="476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2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 / Descrição</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US-F515</w:t>
            </w:r>
          </w:p>
        </w:tc>
        <w:tc>
          <w:tcPr>
            <w:tcW w:type="dxa" w:w="27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Exportação de dados para sistemas contábeis de terceiros</w:t>
            </w:r>
          </w:p>
          <w:p>
            <w:pPr>
              <w:spacing w:after="30"/>
            </w:pPr>
            <w:r>
              <w:rPr>
                <w:rFonts w:ascii="Arial" w:cs="Arial" w:eastAsia="Arial" w:hAnsi="Arial"/>
                <w:i/>
                <w:iCs/>
                <w:color w:val="1A1A1A"/>
                <w:sz w:val="17"/>
                <w:szCs w:val="17"/>
              </w:rPr>
              <w:t>Como contador da fazenda ou escritório de contabilidade, quero exportar os lançamentos contábeis e dados fiscais do Protos Farm em formatos compatíveis com os principais sistemas contábeis do mercado, para eu importe os dados diretamente no meu sistema de contabilidade sem redigitar, mantendo a contabilidade atualizada e em sincronia com as operações da fazenda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Formatos de exportação: SPED Contábil (ECD — Escrituração Contábil Digital), layout TXT conforme manual da RFB. SPED Fiscal (EFD ICMS/IPI — quando PJ), layout conforme manual. Arquivo de lançamentos em CSV/Excel padrão universal (data, conta débito, conta crédito, valor, histórico, centro de custo, documento referência)</w:t>
            </w:r>
          </w:p>
          <w:p>
            <w:pPr>
              <w:spacing w:after="30"/>
            </w:pPr>
            <w:r>
              <w:rPr>
                <w:rFonts w:ascii="Arial" w:cs="Arial" w:eastAsia="Arial" w:hAnsi="Arial"/>
                <w:color w:val="1A1A1A"/>
                <w:sz w:val="17"/>
                <w:szCs w:val="17"/>
              </w:rPr>
              <w:t xml:space="preserve">☐ Exportação para sistemas contábeis específicos: Domínio Contábil (Thomson Reuters) — formato TXT/XML proprietário com mapeamento de plano de contas, Questor — formato de importação padrão, Fortes Contábil — layout de integração, Conta Azul — API REST (quando disponível). Para cada sistema: tela de mapeamento de-para (conta do Protos Farm → conta do sistema contábil externo)</w:t>
            </w:r>
          </w:p>
          <w:p>
            <w:pPr>
              <w:spacing w:after="30"/>
            </w:pPr>
            <w:r>
              <w:rPr>
                <w:rFonts w:ascii="Arial" w:cs="Arial" w:eastAsia="Arial" w:hAnsi="Arial"/>
                <w:color w:val="1A1A1A"/>
                <w:sz w:val="17"/>
                <w:szCs w:val="17"/>
              </w:rPr>
              <w:t xml:space="preserve">☐ Periodicidade: exportação mensal (após fechamento contábil US-C05), sob demanda (período customizado), automática (agendamento mensal com envio por email ao contador)</w:t>
            </w:r>
          </w:p>
          <w:p>
            <w:pPr>
              <w:spacing w:after="30"/>
            </w:pPr>
            <w:r>
              <w:rPr>
                <w:rFonts w:ascii="Arial" w:cs="Arial" w:eastAsia="Arial" w:hAnsi="Arial"/>
                <w:color w:val="1A1A1A"/>
                <w:sz w:val="17"/>
                <w:szCs w:val="17"/>
              </w:rPr>
              <w:t xml:space="preserve">☐ Acesso do contador: perfil de usuário 'contador' com acesso somente leitura aos módulos contábil e fiscal, visualização de DRE/BP/DFC, download de relatórios e arquivos de exportação. Login próprio com permissões restritas</w:t>
            </w:r>
          </w:p>
          <w:p>
            <w:pPr>
              <w:spacing w:after="30"/>
            </w:pPr>
            <w:r>
              <w:rPr>
                <w:rFonts w:ascii="Arial" w:cs="Arial" w:eastAsia="Arial" w:hAnsi="Arial"/>
                <w:color w:val="1A1A1A"/>
                <w:sz w:val="17"/>
                <w:szCs w:val="17"/>
              </w:rPr>
              <w:t xml:space="preserve">☐ Reconciliação: relatório de conferência pós-exportação (totais de débito e crédito por período, número de lançamentos, saldo de contas principais), para o contador validar antes de importar no sistema dele</w:t>
            </w:r>
          </w:p>
          <w:p>
            <w:pPr>
              <w:spacing w:after="30"/>
            </w:pPr>
            <w:r>
              <w:rPr>
                <w:rFonts w:ascii="Arial" w:cs="Arial" w:eastAsia="Arial" w:hAnsi="Arial"/>
                <w:color w:val="1A1A1A"/>
                <w:sz w:val="17"/>
                <w:szCs w:val="17"/>
              </w:rPr>
              <w:t xml:space="preserve">☐ Histórico de exportações: log de todas as exportações realizadas (data, período, formato, destinatário, arquivo gerado), para auditoria e rastreabilidade</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Wizard de exportação: selecionar formato (SPED/Domínio/Questor/CSV), período, tipos de lançamento, preview antes de gerar</w:t>
            </w:r>
          </w:p>
          <w:p>
            <w:pPr>
              <w:spacing w:after="30"/>
            </w:pPr>
            <w:r>
              <w:rPr>
                <w:rFonts w:ascii="Arial" w:cs="Arial" w:eastAsia="Arial" w:hAnsi="Arial"/>
                <w:color w:val="1A1A1A"/>
                <w:sz w:val="17"/>
                <w:szCs w:val="17"/>
              </w:rPr>
              <w:t xml:space="preserve">☐ Tela de agendamento mensal: frequência, formato, destinatário (email do contador), histórico de exportações</w:t>
            </w:r>
          </w:p>
          <w:p>
            <w:pPr>
              <w:spacing w:after="30"/>
            </w:pPr>
            <w:r>
              <w:rPr>
                <w:rFonts w:ascii="Arial" w:cs="Arial" w:eastAsia="Arial" w:hAnsi="Arial"/>
                <w:color w:val="1A1A1A"/>
                <w:sz w:val="17"/>
                <w:szCs w:val="17"/>
              </w:rPr>
              <w:t xml:space="preserve">☐ Tela de reconciliação: comparação entre lançamentos exportados vs. importados pelo contador, status de cada batch</w:t>
            </w:r>
          </w:p>
        </w:tc>
      </w:tr>
    </w:tbl>
    <w:p>
      <w:pPr>
        <w:spacing w:after="200"/>
      </w:pPr>
    </w:p>
    <w:p>
      <w:pPr>
        <w:pBdr>
          <w:bottom w:val="single" w:color="4CAF50" w:sz="3" w:space="1"/>
        </w:pBdr>
        <w:spacing w:before="200" w:after="200"/>
      </w:pPr>
    </w:p>
    <w:p>
      <w:pPr>
        <w:pStyle w:val="Heading2"/>
      </w:pPr>
      <w:r>
        <w:t xml:space="preserve">EPIC-F5-10: Comercialização Avançada e Logística de Entrega</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700"/>
        <w:gridCol w:w="500"/>
        <w:gridCol w:w="476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2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Story / Descrição</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47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US-F516</w:t>
            </w:r>
          </w:p>
        </w:tc>
        <w:tc>
          <w:tcPr>
            <w:tcW w:type="dxa" w:w="27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Book de vendas e fixação de preço de commodities</w:t>
            </w:r>
          </w:p>
          <w:p>
            <w:pPr>
              <w:spacing w:after="30"/>
            </w:pPr>
            <w:r>
              <w:rPr>
                <w:rFonts w:ascii="Arial" w:cs="Arial" w:eastAsia="Arial" w:hAnsi="Arial"/>
                <w:i/>
                <w:iCs/>
                <w:color w:val="1A1A1A"/>
                <w:sz w:val="17"/>
                <w:szCs w:val="17"/>
              </w:rPr>
              <w:t>Como gerente comercial ou proprietário, quero gerenciar o book de vendas de commodities com contratos futuros, fixações de preço e acompanhamento de entregas, para eu maximize a receita vendendo no melhor momento, controle a exposição ao risco de preço e tenha visibilidade completa da posição comercial</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5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47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Cadastro de contrato de venda: tipo (contrato a fixar, contrato fixo, contrato de cooperativa, venda spot, barter/troca), comprador (cliente do cadastro), produto (soja, milho, café, feijão, trigo — com tipo/qualidade), quantidade (sacas/toneladas/arrobas), prazo de entrega (período), local de entrega (fazenda, armazém, porto, cooperativa), prêmio/deságio sobre referência (R$/saca ou US$/bushel), referência de preço (CEPEA, B3, CBOT, preço fixo), moeda (BRL, USD), taxa de câmbio travada (quando USD)</w:t>
            </w:r>
          </w:p>
          <w:p>
            <w:pPr>
              <w:spacing w:after="30"/>
            </w:pPr>
            <w:r>
              <w:rPr>
                <w:rFonts w:ascii="Arial" w:cs="Arial" w:eastAsia="Arial" w:hAnsi="Arial"/>
                <w:color w:val="1A1A1A"/>
                <w:sz w:val="17"/>
                <w:szCs w:val="17"/>
              </w:rPr>
              <w:t xml:space="preserve">☐ Fixação de preço: para contratos 'a fixar', registrar cada fixação parcial (data, quantidade fixada, preço, referência, câmbio se USD). Saldo a fixar = quantidade total – quantidade fixada. Preço médio ponderado de fixação. Alerta: contrato com saldo a fixar e prazo de entrega próximo</w:t>
            </w:r>
          </w:p>
          <w:p>
            <w:pPr>
              <w:spacing w:after="30"/>
            </w:pPr>
            <w:r>
              <w:rPr>
                <w:rFonts w:ascii="Arial" w:cs="Arial" w:eastAsia="Arial" w:hAnsi="Arial"/>
                <w:color w:val="1A1A1A"/>
                <w:sz w:val="17"/>
                <w:szCs w:val="17"/>
              </w:rPr>
              <w:t xml:space="preserve">☐ Book de vendas (posição comercial): visão consolidada de todos os contratos: quantidade total vendida por produto, % da produção estimada já comprometida, preço médio de venda vs. cotação atual (mark-to-market), resultado estimado (preço venda – custo produção). Gráfico: cobertura de vendas (% produção vendida × preço médio) ao longo do tempo</w:t>
            </w:r>
          </w:p>
          <w:p>
            <w:pPr>
              <w:spacing w:after="30"/>
            </w:pPr>
            <w:r>
              <w:rPr>
                <w:rFonts w:ascii="Arial" w:cs="Arial" w:eastAsia="Arial" w:hAnsi="Arial"/>
                <w:color w:val="1A1A1A"/>
                <w:sz w:val="17"/>
                <w:szCs w:val="17"/>
              </w:rPr>
              <w:t xml:space="preserve">☐ Entregas e romaneio: registro de cada entrega vinculada ao contrato (data, quantidade entregue, classificação/tipificação, NF-e vinculada, MDF-e, ticket de pesagem — peso origem e peso destino, descontos de classificação: umidade, impureza, grãos ardidos/avariados). Saldo de entrega = quantidade contratada – quantidade entregue. Romaneio com cálculo automático de descontos</w:t>
            </w:r>
          </w:p>
          <w:p>
            <w:pPr>
              <w:spacing w:after="30"/>
            </w:pPr>
            <w:r>
              <w:rPr>
                <w:rFonts w:ascii="Arial" w:cs="Arial" w:eastAsia="Arial" w:hAnsi="Arial"/>
                <w:color w:val="1A1A1A"/>
                <w:sz w:val="17"/>
                <w:szCs w:val="17"/>
              </w:rPr>
              <w:t xml:space="preserve">☐ Barter (troca de insumos por produção): registrar contrato de barter com relação de troca (ex.: 10 sacas de soja = 1 tonelada de fertilizante), fornecedor/comprador, produtos de cada lado, liquidação automática (entrega de grãos quita o CP de insumos e vice-versa)</w:t>
            </w:r>
          </w:p>
          <w:p>
            <w:pPr>
              <w:spacing w:after="30"/>
            </w:pPr>
            <w:r>
              <w:rPr>
                <w:rFonts w:ascii="Arial" w:cs="Arial" w:eastAsia="Arial" w:hAnsi="Arial"/>
                <w:color w:val="1A1A1A"/>
                <w:sz w:val="17"/>
                <w:szCs w:val="17"/>
              </w:rPr>
              <w:t xml:space="preserve">☐ Integração: contrato vinculado ao CR (US-FN12, com deduções configuradas), fixação atualiza valor do CR, entrega gera NF-e (US-F501) e MDF-e (US-F503), romaneio atualiza saldo de entrega, mark-to-market alimenta relatório financeiro</w:t>
            </w:r>
          </w:p>
          <w:p>
            <w:pPr>
              <w:spacing w:after="30"/>
            </w:pPr>
            <w:r>
              <w:rPr>
                <w:rFonts w:ascii="Arial" w:cs="Arial" w:eastAsia="Arial" w:hAnsi="Arial"/>
                <w:color w:val="1A1A1A"/>
                <w:sz w:val="17"/>
                <w:szCs w:val="17"/>
              </w:rPr>
              <w:t xml:space="preserve">☐ Cotações em tempo real: integração com CEPEA (soja Paranaguá, milho B3, café arábica, boi gordo) e B3 (futuros) via API. Atualização automática dos preços de referência. Alerta de oportunidade: cotação atual &gt; preço-alvo configurado pelo produtor</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US-F517</w:t>
            </w:r>
          </w:p>
        </w:tc>
        <w:tc>
          <w:tcPr>
            <w:tcW w:type="dxa" w:w="2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Expedição e entrega com fluxo desacoplado NF × entrega física</w:t>
            </w:r>
          </w:p>
          <w:p>
            <w:pPr>
              <w:spacing w:after="30"/>
            </w:pPr>
            <w:r>
              <w:rPr>
                <w:rFonts w:ascii="Arial" w:cs="Arial" w:eastAsia="Arial" w:hAnsi="Arial"/>
                <w:i/>
                <w:iCs/>
                <w:color w:val="1A1A1A"/>
                <w:sz w:val="17"/>
                <w:szCs w:val="17"/>
              </w:rPr>
              <w:t>Como gerente de logística ou operador de balança, quero registrar expedição e entrega de produtos com fluxo desacoplado entre NF e entrega física, assim como fazemos no recebimento de compras, para eu atenda todos os cenários reais de expedição (NF antecipada, entrega parcial, faturamento parcial) com rastreabilidade completa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47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Fluxo desacoplado NF × entrega: mesma lógica do recebimento de compras (US-CP11), agora aplicada à saída. Cenários suportados: NF e entrega simultâneas (padrão), NF antecipada (faturamento antes do carregamento), entrega antecipada (carregamento antes da NF — ex.: remessa para depósito), entrega parcial (contrato de 1.000 sacas, entrega 300 hoje e 700 depois), faturamento parcial (NF de 500 sacas, entrega total de 1.000 será em 2 NFs)</w:t>
            </w:r>
          </w:p>
          <w:p>
            <w:pPr>
              <w:spacing w:after="30"/>
            </w:pPr>
            <w:r>
              <w:rPr>
                <w:rFonts w:ascii="Arial" w:cs="Arial" w:eastAsia="Arial" w:hAnsi="Arial"/>
                <w:color w:val="1A1A1A"/>
                <w:sz w:val="17"/>
                <w:szCs w:val="17"/>
              </w:rPr>
              <w:t xml:space="preserve">☐ Romaneio de carga: criação de romaneio vinculado ao contrato de venda e à ordem de carregamento. Dados: produto, quantidade prevista, veículo/placa, motorista, destino, NF(s) vinculadas, MDF-e vinculado. Pesagem na origem (ticket de balança com peso bruto, tara, peso líquido) — integração com balança rodoviária quando disponível</w:t>
            </w:r>
          </w:p>
          <w:p>
            <w:pPr>
              <w:spacing w:after="30"/>
            </w:pPr>
            <w:r>
              <w:rPr>
                <w:rFonts w:ascii="Arial" w:cs="Arial" w:eastAsia="Arial" w:hAnsi="Arial"/>
                <w:color w:val="1A1A1A"/>
                <w:sz w:val="17"/>
                <w:szCs w:val="17"/>
              </w:rPr>
              <w:t xml:space="preserve">☐ Conferência no destino: registro de peso destino (informado pelo comprador), cálculo de quebra de transporte (peso origem – peso destino), classificação no destino (umidade, impureza, defeitos — informada pelo comprador), descontos aplicados. Confronto com classificação na origem para identificar divergências</w:t>
            </w:r>
          </w:p>
          <w:p>
            <w:pPr>
              <w:spacing w:after="30"/>
            </w:pPr>
            <w:r>
              <w:rPr>
                <w:rFonts w:ascii="Arial" w:cs="Arial" w:eastAsia="Arial" w:hAnsi="Arial"/>
                <w:color w:val="1A1A1A"/>
                <w:sz w:val="17"/>
                <w:szCs w:val="17"/>
              </w:rPr>
              <w:t xml:space="preserve">☐ Status da expedição: programada → em carregamento → em trânsito → entregue → conferida → liquidada. Dashboard: entregas programadas para hoje/semana, entregas em trânsito, entregas pendentes de conferência destino, entregas com divergência</w:t>
            </w:r>
          </w:p>
          <w:p>
            <w:pPr>
              <w:spacing w:after="30"/>
            </w:pPr>
            <w:r>
              <w:rPr>
                <w:rFonts w:ascii="Arial" w:cs="Arial" w:eastAsia="Arial" w:hAnsi="Arial"/>
                <w:color w:val="1A1A1A"/>
                <w:sz w:val="17"/>
                <w:szCs w:val="17"/>
              </w:rPr>
              <w:t xml:space="preserve">☐ Integração: expedição gera NF-e (US-F501), MDF-e (US-F503), GTA quando animal (US-F508). Entrega confirmada dá baixa no saldo do contrato de venda (US-F516). Descontos de classificação aplicados no CR (deduções US-FN12). Romaneio e tickets arquivados com rastreabilidade</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Formulário de romaneio de carga: seleção de NF-es, veículo, motorista, local de carregamento, pesagem na origem</w:t>
            </w:r>
          </w:p>
          <w:p>
            <w:pPr>
              <w:spacing w:after="30"/>
            </w:pPr>
            <w:r>
              <w:rPr>
                <w:rFonts w:ascii="Arial" w:cs="Arial" w:eastAsia="Arial" w:hAnsi="Arial"/>
                <w:color w:val="1A1A1A"/>
                <w:sz w:val="17"/>
                <w:szCs w:val="17"/>
              </w:rPr>
              <w:t xml:space="preserve">☐ Tela de conferência no destino: peso/classificação, cálculo de descontos (umidade, impureza), divergência origem vs. destino</w:t>
            </w:r>
          </w:p>
          <w:p>
            <w:pPr>
              <w:spacing w:after="30"/>
            </w:pPr>
            <w:r>
              <w:rPr>
                <w:rFonts w:ascii="Arial" w:cs="Arial" w:eastAsia="Arial" w:hAnsi="Arial"/>
                <w:color w:val="1A1A1A"/>
                <w:sz w:val="17"/>
                <w:szCs w:val="17"/>
              </w:rPr>
              <w:t xml:space="preserve">☐ Kanban de entregas: colunas por status (programada, carregando, em trânsito, entregue, conferida, liquidada) com cards arrastáveis</w:t>
            </w:r>
          </w:p>
        </w:tc>
      </w:tr>
    </w:tbl>
    <w:p>
      <w:pPr>
        <w:spacing w:after="200"/>
      </w:pPr>
    </w:p>
    <w:p>
      <w:pPr>
        <w:pBdr>
          <w:bottom w:val="single" w:color="4CAF50" w:sz="3" w:space="1"/>
        </w:pBdr>
        <w:spacing w:before="200" w:after="200"/>
      </w:pPr>
    </w:p>
    <w:p>
      <w:pPr>
        <w:pStyle w:val="Heading2"/>
      </w:pPr>
      <w:r>
        <w:t xml:space="preserve">Resumo Fase 5</w:t>
      </w:r>
    </w:p>
    <w:p>
      <w:pPr>
        <w:spacing w:after="120" w:before="0"/>
        <w:jc w:val="both"/>
      </w:pPr>
      <w:r>
        <w:rPr>
          <w:rFonts w:ascii="Arial" w:cs="Arial" w:eastAsia="Arial" w:hAnsi="Arial"/>
          <w:b/>
          <w:bCs/>
          <w:color w:val="1A1A1A"/>
          <w:sz w:val="21"/>
          <w:szCs w:val="21"/>
        </w:rPr>
        <w:t xml:space="preserve">Total de Epics: </w:t>
      </w:r>
      <w:r>
        <w:rPr>
          <w:rFonts w:ascii="Arial" w:cs="Arial" w:eastAsia="Arial" w:hAnsi="Arial"/>
          <w:color w:val="1A1A1A"/>
          <w:sz w:val="21"/>
          <w:szCs w:val="21"/>
        </w:rPr>
        <w:t xml:space="preserve">10</w:t>
      </w:r>
      <w:r>
        <w:rPr>
          <w:rFonts w:ascii="Arial" w:cs="Arial" w:eastAsia="Arial" w:hAnsi="Arial"/>
          <w:b/>
          <w:bCs/>
          <w:color w:val="1A1A1A"/>
          <w:sz w:val="21"/>
          <w:szCs w:val="21"/>
        </w:rPr>
        <w:t xml:space="preserve"> | Stories: </w:t>
      </w:r>
      <w:r>
        <w:rPr>
          <w:rFonts w:ascii="Arial" w:cs="Arial" w:eastAsia="Arial" w:hAnsi="Arial"/>
          <w:color w:val="1A1A1A"/>
          <w:sz w:val="21"/>
          <w:szCs w:val="21"/>
        </w:rPr>
        <w:t xml:space="preserve">17</w:t>
      </w:r>
      <w:r>
        <w:rPr>
          <w:rFonts w:ascii="Arial" w:cs="Arial" w:eastAsia="Arial" w:hAnsi="Arial"/>
          <w:b/>
          <w:bCs/>
          <w:color w:val="1A1A1A"/>
          <w:sz w:val="21"/>
          <w:szCs w:val="21"/>
        </w:rPr>
        <w:t xml:space="preserve"> | Story Points: </w:t>
      </w:r>
      <w:r>
        <w:rPr>
          <w:rFonts w:ascii="Arial" w:cs="Arial" w:eastAsia="Arial" w:hAnsi="Arial"/>
          <w:color w:val="1A1A1A"/>
          <w:sz w:val="21"/>
          <w:szCs w:val="21"/>
        </w:rPr>
        <w:t xml:space="preserve">168</w:t>
      </w:r>
    </w:p>
    <w:p>
      <w:pPr>
        <w:spacing w:after="50"/>
      </w:pPr>
    </w:p>
    <w:p>
      <w:pPr>
        <w:spacing w:after="120" w:before="0"/>
        <w:jc w:val="both"/>
      </w:pPr>
      <w:r>
        <w:rPr>
          <w:rFonts w:ascii="Arial" w:cs="Arial" w:eastAsia="Arial" w:hAnsi="Arial"/>
          <w:b w:val="false"/>
          <w:bCs w:val="false"/>
          <w:i w:val="false"/>
          <w:iCs w:val="false"/>
          <w:color w:val="1A1A1A"/>
          <w:sz w:val="21"/>
          <w:szCs w:val="21"/>
        </w:rPr>
        <w:t xml:space="preserve">Prioridades de implementação sugeridas: (1) NF-e de saída e importação de NF-e de entrada — funcionalidade mais solicitada por produtores, diferencial competitivo direto contra Aegro; (2) LCDPR automático — obrigação fiscal anual, elimina trabalho manual do contador; (3) MDF-e — obrigatório para transporte interestadual; (4) Comercialização avançada (book de vendas, fixação, romaneio) — valor direto na receita do produtor; (5) GTA Digital — obrigatório para movimentação de animais; (6) CAR e gestão ambiental — compliance ambiental e pré-requisito para certificações; (7) Exportação contábil — reduz atrito com escritórios de contabilidade; (8) Certificações e auditorias — diferencial para produtores com mercado de exportação; (9) Telemetria de máquinas — evolução natural do controle de patrimônio; (10) ITR e imóveis rurais — compliance fundiário; (11) Irrigação avançada — valor para fazendas irrigadas; (12) ESG e logística reversa — tendência de mercado e exigência crescente de compradores; (13) SISBOV — nicho específico para pecuária de exportação.</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Protos Farm © 2025 — Documento Confidencial — 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Protos Farm — Fase 5: Compliance, Fiscal e Integrações Gov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B5E20"/>
      <w:sz w:val="36"/>
      <w:szCs w:val="36"/>
    </w:rPr>
  </w:style>
  <w:style w:type="paragraph" w:styleId="Heading2">
    <w:name w:val="Heading 2"/>
    <w:basedOn w:val="Normal"/>
    <w:next w:val="Normal"/>
    <w:qFormat/>
    <w:pPr>
      <w:spacing w:before="200" w:after="120"/>
      <w:outlineLvl w:val="1"/>
    </w:pPr>
    <w:rPr>
      <w:rFonts w:ascii="Arial" w:cs="Arial" w:eastAsia="Arial" w:hAnsi="Arial"/>
      <w:b/>
      <w:bCs/>
      <w:color w:val="2E7D32"/>
      <w:sz w:val="28"/>
      <w:szCs w:val="28"/>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5" Type="http://schemas.openxmlformats.org/officeDocument/2006/relationships/comments" Target="comments.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fontTable" Target="fontTable.xml"/>
</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2026-02-26T09:55:55.189Z</dcterms:created>
  <dcterms:modified xsi:type="dcterms:W3CDTF">2026-02-26T09:55:55.190Z</dcterms:modified>
</cp:coreProperties>
</file>

<file path=docProps/custom.xml><?xml version="1.0" encoding="utf-8"?>
<Properties xmlns="http://schemas.openxmlformats.org/officeDocument/2006/custom-properties" xmlns:vt="http://schemas.openxmlformats.org/officeDocument/2006/docPropsVTypes"/>
</file>