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52"/>
          <w:szCs w:val="52"/>
        </w:rPr>
        <w:t xml:space="preserve">City Stack</w:t>
      </w:r>
    </w:p>
    <w:p>
      <w:pPr>
        <w:spacing w:after="240"/>
      </w:pPr>
      <w:r>
        <w:rPr>
          <w:i/>
          <w:iCs/>
          <w:color w:val="555555"/>
          <w:sz w:val="26"/>
          <w:szCs w:val="26"/>
        </w:rPr>
        <w:t xml:space="preserve">A Product Concept for In-Trip Local Utility on the Scapia App</w:t>
      </w:r>
    </w:p>
    <w:p>
      <w:pPr>
        <w:spacing w:after="40"/>
      </w:pPr>
      <w:r>
        <w:rPr>
          <w:color w:val="555555"/>
          <w:sz w:val="20"/>
          <w:szCs w:val="20"/>
        </w:rPr>
        <w:t xml:space="preserve">Prepared by: Aditya</w:t>
      </w:r>
    </w:p>
    <w:p>
      <w:pPr>
        <w:spacing w:after="40"/>
      </w:pPr>
      <w:r>
        <w:rPr>
          <w:color w:val="555555"/>
          <w:sz w:val="20"/>
          <w:szCs w:val="20"/>
        </w:rPr>
        <w:t xml:space="preserve">Date: August 21, 2026</w:t>
      </w:r>
    </w:p>
    <w:p>
      <w:pPr>
        <w:spacing w:after="40"/>
      </w:pPr>
      <w:r>
        <w:rPr>
          <w:color w:val="555555"/>
          <w:sz w:val="20"/>
          <w:szCs w:val="20"/>
        </w:rPr>
        <w:t xml:space="preserve">Status: Personal project, approved to build — targeting launch in the coming months</w:t>
      </w:r>
    </w:p>
    <w:p>
      <w:pPr>
        <w:pStyle w:val="Heading1"/>
        <w:pBdr>
          <w:bottom w:val="single" w:color="1F3864" w:sz="6" w:space="4"/>
        </w:pBdr>
        <w:spacing w:after="180" w:before="420"/>
      </w:pPr>
      <w:r>
        <w:rPr>
          <w:b/>
          <w:bCs/>
          <w:color w:val="1F3864"/>
          <w:sz w:val="32"/>
          <w:szCs w:val="32"/>
        </w:rPr>
        <w:t xml:space="preserve">Executive Summary</w:t>
      </w:r>
    </w:p>
    <w:p>
      <w:pPr>
        <w:spacing w:after="160"/>
      </w:pPr>
      <w:r>
        <w:rPr>
          <w:b w:val="false"/>
          <w:bCs w:val="false"/>
          <w:i w:val="false"/>
          <w:iCs w:val="false"/>
          <w:color w:val="222222"/>
          <w:sz w:val="22"/>
          <w:szCs w:val="22"/>
        </w:rPr>
        <w:t xml:space="preserve">Scapia already knows two things about a cardholder: when they've booked international travel, and when their phone shows they've landed in a new city. Today, neither of these facts is used to help the traveler once they've actually arrived. This document proposes a new in-app feature called City Stack: a single, simple nudge sent at the right moment that tells a traveler which local apps actually work in the city they've just landed in — how to get connected, how to get around, how to eat, and how to stay safe.</w:t>
      </w:r>
    </w:p>
    <w:p>
      <w:pPr>
        <w:spacing w:after="160"/>
      </w:pPr>
      <w:r>
        <w:rPr>
          <w:b w:val="false"/>
          <w:bCs w:val="false"/>
          <w:i w:val="false"/>
          <w:iCs w:val="false"/>
          <w:color w:val="222222"/>
          <w:sz w:val="22"/>
          <w:szCs w:val="22"/>
        </w:rPr>
        <w:t xml:space="preserve">The goal of the first version is simple: give people a reason to open the Scapia app during their trip, not just before it. Making money from this comes later, once we know people actually use and value it. This document walks through the problem, how we studied it, what we decided to build first, and the real risks worth watching.</w:t>
      </w:r>
    </w:p>
    <w:p>
      <w:pPr>
        <w:pStyle w:val="Heading1"/>
        <w:pBdr>
          <w:bottom w:val="single" w:color="1F3864" w:sz="6" w:space="4"/>
        </w:pBdr>
        <w:spacing w:after="180" w:before="420"/>
      </w:pPr>
      <w:r>
        <w:rPr>
          <w:b/>
          <w:bCs/>
          <w:color w:val="1F3864"/>
          <w:sz w:val="32"/>
          <w:szCs w:val="32"/>
        </w:rPr>
        <w:t xml:space="preserve">1. Problem Definition</w:t>
      </w:r>
    </w:p>
    <w:p>
      <w:pPr>
        <w:spacing w:after="160"/>
      </w:pPr>
      <w:r>
        <w:rPr>
          <w:b w:val="false"/>
          <w:bCs w:val="false"/>
          <w:i w:val="false"/>
          <w:iCs w:val="false"/>
          <w:color w:val="222222"/>
          <w:sz w:val="22"/>
          <w:szCs w:val="22"/>
        </w:rPr>
        <w:t xml:space="preserve">Scapia has two independent signals that a cardholder is traveling: a confirmed flight or hotel booking, and real-time location data showing the person has landed in, or moved to, a new city. Neither signal is currently used for anything beyond the booking itself.</w:t>
      </w:r>
    </w:p>
    <w:p>
      <w:pPr>
        <w:spacing w:after="160"/>
      </w:pPr>
      <w:r>
        <w:rPr>
          <w:b w:val="false"/>
          <w:bCs w:val="false"/>
          <w:i w:val="false"/>
          <w:iCs w:val="false"/>
          <w:color w:val="222222"/>
          <w:sz w:val="22"/>
          <w:szCs w:val="22"/>
        </w:rPr>
        <w:t xml:space="preserve">Once a traveler actually lands, they are on their own for everything that matters day to day: getting a data connection, finding a reliable ride from the airport, ordering food, or knowing which grocery app works locally. Most travelers default to searching the App Store blindly, or trying the app they use at home — which very often fails, since most of the world's top travel-related apps are local or regional, not global. A user who relies on Uber at home may find it barely works in Vietnam, where a completely different app dominates.</w:t>
      </w:r>
    </w:p>
    <w:p>
      <w:pPr>
        <w:spacing w:after="160"/>
      </w:pPr>
      <w:r>
        <w:rPr>
          <w:b w:val="false"/>
          <w:bCs w:val="false"/>
          <w:i w:val="false"/>
          <w:iCs w:val="false"/>
          <w:color w:val="222222"/>
          <w:sz w:val="22"/>
          <w:szCs w:val="22"/>
        </w:rPr>
        <w:t xml:space="preserve">This is a genuine gap, not a duplicate of something Scapia already does. Scapia's Experiences product (TEA / the Skippy app) already helps travelers discover things to do and see. City Stack is different — it is not about inspiration or discovery, it is about day-to-day utility: the boring, essential stuff a traveler needs to function once they've landed.</w:t>
      </w:r>
    </w:p>
    <w:p>
      <w:pPr>
        <w:spacing w:after="160"/>
      </w:pPr>
      <w:r>
        <w:rPr>
          <w:b/>
          <w:bCs/>
          <w:i w:val="false"/>
          <w:iCs w:val="false"/>
          <w:color w:val="222222"/>
          <w:sz w:val="22"/>
          <w:szCs w:val="22"/>
        </w:rPr>
        <w:t xml:space="preserve">The main measure of success for this feature is engagement — how often people open the Scapia app during a trip — not revenue. Revenue is expected to follow later, once engagement is proven.</w:t>
      </w:r>
    </w:p>
    <w:p>
      <w:pPr>
        <w:pStyle w:val="Heading1"/>
        <w:pBdr>
          <w:bottom w:val="single" w:color="1F3864" w:sz="6" w:space="4"/>
        </w:pBdr>
        <w:spacing w:after="180" w:before="420"/>
      </w:pPr>
      <w:r>
        <w:rPr>
          <w:b/>
          <w:bCs/>
          <w:color w:val="1F3864"/>
          <w:sz w:val="32"/>
          <w:szCs w:val="32"/>
        </w:rPr>
        <w:t xml:space="preserve">2. User Journeys and Current State</w:t>
      </w:r>
    </w:p>
    <w:p>
      <w:pPr>
        <w:spacing w:after="160"/>
      </w:pPr>
      <w:r>
        <w:rPr>
          <w:b w:val="false"/>
          <w:bCs w:val="false"/>
          <w:i w:val="false"/>
          <w:iCs w:val="false"/>
          <w:color w:val="222222"/>
          <w:sz w:val="22"/>
          <w:szCs w:val="22"/>
        </w:rPr>
        <w:t xml:space="preserve">Here is what happens today, step by step, with no City Stack feature in place:</w:t>
      </w:r>
    </w:p>
    <w:p>
      <w:pPr>
        <w:pStyle w:val="ListParagraph"/>
        <w:numPr>
          <w:ilvl w:val="0"/>
          <w:numId w:val="2"/>
        </w:numPr>
        <w:spacing w:after="90"/>
      </w:pPr>
      <w:r>
        <w:rPr>
          <w:color w:val="222222"/>
          <w:sz w:val="22"/>
          <w:szCs w:val="22"/>
        </w:rPr>
        <w:t xml:space="preserve">Booking: A flight and/or hotel is booked through Scapia, so Scapia knows the destination and travel dates.</w:t>
      </w:r>
    </w:p>
    <w:p>
      <w:pPr>
        <w:pStyle w:val="ListParagraph"/>
        <w:numPr>
          <w:ilvl w:val="0"/>
          <w:numId w:val="2"/>
        </w:numPr>
        <w:spacing w:after="90"/>
      </w:pPr>
      <w:r>
        <w:rPr>
          <w:color w:val="222222"/>
          <w:sz w:val="22"/>
          <w:szCs w:val="22"/>
        </w:rPr>
        <w:t xml:space="preserve">Pre-trip: Scapia's CRM sends nudges today, but only to cross-sell Scapia's own products — for example, someone who books a flight gets nudged to also book a hotel, or an Experience. Nothing points the user to anything outside Scapia's own catalog.</w:t>
      </w:r>
    </w:p>
    <w:p>
      <w:pPr>
        <w:pStyle w:val="ListParagraph"/>
        <w:numPr>
          <w:ilvl w:val="0"/>
          <w:numId w:val="2"/>
        </w:numPr>
        <w:spacing w:after="90"/>
      </w:pPr>
      <w:r>
        <w:rPr>
          <w:color w:val="222222"/>
          <w:sz w:val="22"/>
          <w:szCs w:val="22"/>
        </w:rPr>
        <w:t xml:space="preserve">Landing / city change: Scapia can detect this today, but nothing happens as a result. There is no utility-focused trigger at all at this moment.</w:t>
      </w:r>
    </w:p>
    <w:p>
      <w:pPr>
        <w:pStyle w:val="ListParagraph"/>
        <w:numPr>
          <w:ilvl w:val="0"/>
          <w:numId w:val="2"/>
        </w:numPr>
        <w:spacing w:after="90"/>
      </w:pPr>
      <w:r>
        <w:rPr>
          <w:color w:val="222222"/>
          <w:sz w:val="22"/>
          <w:szCs w:val="22"/>
        </w:rPr>
        <w:t xml:space="preserve">Day to day during the trip: The user has already had to solve rides, food, and connectivity on their own, usually through blind searching or habit. Scapia has no visibility into this and gets no engagement from it.</w:t>
      </w:r>
    </w:p>
    <w:p>
      <w:pPr>
        <w:pStyle w:val="ListParagraph"/>
        <w:numPr>
          <w:ilvl w:val="0"/>
          <w:numId w:val="2"/>
        </w:numPr>
        <w:spacing w:after="90"/>
      </w:pPr>
      <w:r>
        <w:rPr>
          <w:color w:val="222222"/>
          <w:sz w:val="22"/>
          <w:szCs w:val="22"/>
        </w:rPr>
        <w:t xml:space="preserve">Post-trip: There is no reason for the user to reopen the Scapia app until their next booking. Engagement drops to zero between trips.</w:t>
      </w:r>
    </w:p>
    <w:p>
      <w:pPr>
        <w:spacing w:after="160"/>
      </w:pPr>
      <w:r>
        <w:rPr>
          <w:b w:val="false"/>
          <w:bCs w:val="false"/>
          <w:i w:val="false"/>
          <w:iCs w:val="false"/>
          <w:color w:val="222222"/>
          <w:sz w:val="22"/>
          <w:szCs w:val="22"/>
        </w:rPr>
        <w:t xml:space="preserve">Importantly, this gap does not compete with Scapia's existing cross-sell nudges — it fills a completely empty space next to them. A user could still get a 'book your hotel' nudge and a 'here's the right ride app for this city' nudge in the same trip, at different moments, without one replacing the other.</w:t>
      </w:r>
    </w:p>
    <w:p>
      <w:pPr>
        <w:pStyle w:val="Heading1"/>
        <w:pBdr>
          <w:bottom w:val="single" w:color="1F3864" w:sz="6" w:space="4"/>
        </w:pBdr>
        <w:spacing w:after="180" w:before="420"/>
      </w:pPr>
      <w:r>
        <w:rPr>
          <w:b/>
          <w:bCs/>
          <w:color w:val="1F3864"/>
          <w:sz w:val="32"/>
          <w:szCs w:val="32"/>
        </w:rPr>
        <w:t xml:space="preserve">3. Most Pressing Pain Points (From the User's Point of View)</w:t>
      </w:r>
    </w:p>
    <w:p>
      <w:pPr>
        <w:spacing w:after="160"/>
      </w:pPr>
      <w:r>
        <w:rPr>
          <w:b w:val="false"/>
          <w:bCs w:val="false"/>
          <w:i w:val="false"/>
          <w:iCs w:val="false"/>
          <w:color w:val="222222"/>
          <w:sz w:val="22"/>
          <w:szCs w:val="22"/>
        </w:rPr>
        <w:t xml:space="preserve">Ranked roughly by how urgent and frequent they are during a trip:</w:t>
      </w:r>
    </w:p>
    <w:p>
      <w:pPr>
        <w:pStyle w:val="ListParagraph"/>
        <w:numPr>
          <w:ilvl w:val="0"/>
          <w:numId w:val="2"/>
        </w:numPr>
        <w:spacing w:after="90"/>
      </w:pPr>
      <w:r>
        <w:rPr>
          <w:color w:val="222222"/>
          <w:sz w:val="22"/>
          <w:szCs w:val="22"/>
        </w:rPr>
        <w:t xml:space="preserve">1. Connectivity (eSIM / local SIM) — the very first blocker. Without a data connection, nothing else works either — no maps, no ride app, no translation.</w:t>
      </w:r>
    </w:p>
    <w:p>
      <w:pPr>
        <w:pStyle w:val="ListParagraph"/>
        <w:numPr>
          <w:ilvl w:val="0"/>
          <w:numId w:val="2"/>
        </w:numPr>
        <w:spacing w:after="90"/>
      </w:pPr>
      <w:r>
        <w:rPr>
          <w:color w:val="222222"/>
          <w:sz w:val="22"/>
          <w:szCs w:val="22"/>
        </w:rPr>
        <w:t xml:space="preserve">2. Airport-to-first-stop mobility — figuring out which ride app actually works, is trusted, and is fairly priced in that specific city, with no local number yet and no local knowledge.</w:t>
      </w:r>
    </w:p>
    <w:p>
      <w:pPr>
        <w:pStyle w:val="ListParagraph"/>
        <w:numPr>
          <w:ilvl w:val="0"/>
          <w:numId w:val="2"/>
        </w:numPr>
        <w:spacing w:after="90"/>
      </w:pPr>
      <w:r>
        <w:rPr>
          <w:color w:val="222222"/>
          <w:sz w:val="22"/>
          <w:szCs w:val="22"/>
        </w:rPr>
        <w:t xml:space="preserve">3. Daily essentials (food and groceries) — lower anxiety than the first two, but it happens multiple times a day for the whole trip, making it the single highest-frequency opportunity to be useful.</w:t>
      </w:r>
    </w:p>
    <w:p>
      <w:pPr>
        <w:pStyle w:val="ListParagraph"/>
        <w:numPr>
          <w:ilvl w:val="0"/>
          <w:numId w:val="2"/>
        </w:numPr>
        <w:spacing w:after="90"/>
      </w:pPr>
      <w:r>
        <w:rPr>
          <w:color w:val="222222"/>
          <w:sz w:val="22"/>
          <w:szCs w:val="22"/>
        </w:rPr>
        <w:t xml:space="preserve">4. Decision fatigue — the user doesn't want to research five different things separately. They want one moment where Scapia says, 'here's your stack for this city,' once.</w:t>
      </w:r>
    </w:p>
    <w:p>
      <w:pPr>
        <w:pStyle w:val="ListParagraph"/>
        <w:numPr>
          <w:ilvl w:val="0"/>
          <w:numId w:val="2"/>
        </w:numPr>
        <w:spacing w:after="90"/>
      </w:pPr>
      <w:r>
        <w:rPr>
          <w:color w:val="222222"/>
          <w:sz w:val="22"/>
          <w:szCs w:val="22"/>
        </w:rPr>
        <w:t xml:space="preserve">5. Payment friction — this is different from the other four. It isn't a standalone pain point to solve first; it's a layer that sits underneath all of them (how you actually pay once you're inside one of these apps), and it is also the eventual way this feature could make money later.</w:t>
      </w:r>
    </w:p>
    <w:p>
      <w:pPr>
        <w:pStyle w:val="Heading1"/>
        <w:pBdr>
          <w:bottom w:val="single" w:color="1F3864" w:sz="6" w:space="4"/>
        </w:pBdr>
        <w:spacing w:after="180" w:before="420"/>
      </w:pPr>
      <w:r>
        <w:rPr>
          <w:b/>
          <w:bCs/>
          <w:color w:val="1F3864"/>
          <w:sz w:val="32"/>
          <w:szCs w:val="32"/>
        </w:rPr>
        <w:t xml:space="preserve">4. Prioritisation</w:t>
      </w:r>
    </w:p>
    <w:p>
      <w:pPr>
        <w:spacing w:after="160"/>
      </w:pPr>
      <w:r>
        <w:rPr>
          <w:b w:val="false"/>
          <w:bCs w:val="false"/>
          <w:i w:val="false"/>
          <w:iCs w:val="false"/>
          <w:color w:val="222222"/>
          <w:sz w:val="22"/>
          <w:szCs w:val="22"/>
        </w:rPr>
        <w:t xml:space="preserve">We used a simple way of sorting features called MoSCoW — it stands for Must have, Should have, Could have, and Won't have (for now). It forces a clear line between what genuinely needs to exist for a first version, and what can wait.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W w:type="dxa" w:w="1800"/>
            <w:shd w:fill="1F3864" w:color="auto" w:val="clear"/>
            <w:tcMar>
              <w:top w:type="dxa" w:w="80"/>
              <w:left w:type="dxa" w:w="100"/>
              <w:bottom w:type="dxa" w:w="80"/>
              <w:right w:type="dxa" w:w="100"/>
            </w:tcMar>
            <w:vAlign w:val="center"/>
          </w:tcPr>
          <w:p>
            <w:pPr>
              <w:jc w:val="left"/>
            </w:pPr>
            <w:r>
              <w:rPr>
                <w:b/>
                <w:bCs/>
                <w:color w:val="FFFFFF"/>
                <w:sz w:val="19"/>
                <w:szCs w:val="19"/>
              </w:rPr>
              <w:t xml:space="preserve">Category</w:t>
            </w:r>
          </w:p>
        </w:tc>
        <w:tc>
          <w:tcPr>
            <w:tcW w:type="dxa" w:w="7226"/>
            <w:shd w:fill="1F3864" w:color="auto" w:val="clear"/>
            <w:tcMar>
              <w:top w:type="dxa" w:w="80"/>
              <w:left w:type="dxa" w:w="100"/>
              <w:bottom w:type="dxa" w:w="80"/>
              <w:right w:type="dxa" w:w="100"/>
            </w:tcMar>
            <w:vAlign w:val="center"/>
          </w:tcPr>
          <w:p>
            <w:pPr>
              <w:jc w:val="left"/>
            </w:pPr>
            <w:r>
              <w:rPr>
                <w:b/>
                <w:bCs/>
                <w:color w:val="FFFFFF"/>
                <w:sz w:val="19"/>
                <w:szCs w:val="19"/>
              </w:rPr>
              <w:t xml:space="preserve">What's in it</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Must (build first)</w:t>
            </w:r>
          </w:p>
        </w:tc>
        <w:tc>
          <w:tcPr>
            <w:tcW w:type="dxa" w:w="7226"/>
            <w:tcMar>
              <w:top w:type="dxa" w:w="80"/>
              <w:left w:type="dxa" w:w="100"/>
              <w:bottom w:type="dxa" w:w="80"/>
              <w:right w:type="dxa" w:w="100"/>
            </w:tcMar>
            <w:vAlign w:val="center"/>
          </w:tcPr>
          <w:p>
            <w:pPr>
              <w:jc w:val="left"/>
            </w:pPr>
            <w:r>
              <w:rPr>
                <w:b w:val="false"/>
                <w:bCs w:val="false"/>
                <w:color w:val="222222"/>
                <w:sz w:val="19"/>
                <w:szCs w:val="19"/>
              </w:rPr>
              <w:t xml:space="preserve">The 'City Stack' moment itself: one bundled push notification and WhatsApp message sent when a trip is booked or a city change is detected. It links straight to curated local apps for five things: Connectivity (eSIM), Mobility (rides), Food, Safety/Emergency info (including the nearest Indian embassy), and Public Transit.</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Should (fast follow)</w:t>
            </w:r>
          </w:p>
        </w:tc>
        <w:tc>
          <w:tcPr>
            <w:tcW w:type="dxa" w:w="7226"/>
            <w:tcMar>
              <w:top w:type="dxa" w:w="80"/>
              <w:left w:type="dxa" w:w="100"/>
              <w:bottom w:type="dxa" w:w="80"/>
              <w:right w:type="dxa" w:w="100"/>
            </w:tcMar>
            <w:vAlign w:val="center"/>
          </w:tcPr>
          <w:p>
            <w:pPr>
              <w:jc w:val="left"/>
            </w:pPr>
            <w:r>
              <w:rPr>
                <w:b w:val="false"/>
                <w:bCs w:val="false"/>
                <w:color w:val="222222"/>
                <w:sz w:val="19"/>
                <w:szCs w:val="19"/>
              </w:rPr>
              <w:t xml:space="preserve">Adding a Grocery / quick-commerce tile, and re-sending the nudge if the traveler moves to a second or third city on a multi-city trip.</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Could (later, once engagement is proven)</w:t>
            </w:r>
          </w:p>
        </w:tc>
        <w:tc>
          <w:tcPr>
            <w:tcW w:type="dxa" w:w="7226"/>
            <w:tcMar>
              <w:top w:type="dxa" w:w="80"/>
              <w:left w:type="dxa" w:w="100"/>
              <w:bottom w:type="dxa" w:w="80"/>
              <w:right w:type="dxa" w:w="100"/>
            </w:tcMar>
            <w:vAlign w:val="center"/>
          </w:tcPr>
          <w:p>
            <w:pPr>
              <w:jc w:val="left"/>
            </w:pPr>
            <w:r>
              <w:rPr>
                <w:b w:val="false"/>
                <w:bCs w:val="false"/>
                <w:color w:val="222222"/>
                <w:sz w:val="19"/>
                <w:szCs w:val="19"/>
              </w:rPr>
              <w:t xml:space="preserve">A real payment layer, and formal commercial partnerships with the apps being recommended, so Scapia can eventually earn a commission.</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Won't (out of scope)</w:t>
            </w:r>
          </w:p>
        </w:tc>
        <w:tc>
          <w:tcPr>
            <w:tcW w:type="dxa" w:w="7226"/>
            <w:tcMar>
              <w:top w:type="dxa" w:w="80"/>
              <w:left w:type="dxa" w:w="100"/>
              <w:bottom w:type="dxa" w:w="80"/>
              <w:right w:type="dxa" w:w="100"/>
            </w:tcMar>
            <w:vAlign w:val="center"/>
          </w:tcPr>
          <w:p>
            <w:pPr>
              <w:jc w:val="left"/>
            </w:pPr>
            <w:r>
              <w:rPr>
                <w:b w:val="false"/>
                <w:bCs w:val="false"/>
                <w:color w:val="222222"/>
                <w:sz w:val="19"/>
                <w:szCs w:val="19"/>
              </w:rPr>
              <w:t xml:space="preserve">Scapia will not build or run its own ride, food, or grocery service. Scapia will not become a payment gateway or handle money movement inside this feature. Attractions and activities stay with the existing Experiences (TEA) product.</w:t>
            </w:r>
          </w:p>
        </w:tc>
      </w:tr>
    </w:tbl>
    <w:p>
      <w:pPr>
        <w:pStyle w:val="Heading1"/>
        <w:pBdr>
          <w:bottom w:val="single" w:color="1F3864" w:sz="6" w:space="4"/>
        </w:pBdr>
        <w:spacing w:after="180" w:before="420"/>
      </w:pPr>
      <w:r>
        <w:rPr>
          <w:b/>
          <w:bCs/>
          <w:color w:val="1F3864"/>
          <w:sz w:val="32"/>
          <w:szCs w:val="32"/>
        </w:rPr>
        <w:t xml:space="preserve">5. Solutioning</w:t>
      </w:r>
    </w:p>
    <w:p>
      <w:pPr>
        <w:pStyle w:val="Heading2"/>
        <w:spacing w:after="120" w:before="260"/>
      </w:pPr>
      <w:r>
        <w:rPr>
          <w:b/>
          <w:bCs/>
          <w:color w:val="2E5395"/>
          <w:sz w:val="26"/>
          <w:szCs w:val="26"/>
        </w:rPr>
        <w:t xml:space="preserve">5.1 How it gets triggered</w:t>
      </w:r>
    </w:p>
    <w:p>
      <w:pPr>
        <w:spacing w:after="160"/>
      </w:pPr>
      <w:r>
        <w:rPr>
          <w:b w:val="false"/>
          <w:bCs w:val="false"/>
          <w:i w:val="false"/>
          <w:iCs w:val="false"/>
          <w:color w:val="222222"/>
          <w:sz w:val="22"/>
          <w:szCs w:val="22"/>
        </w:rPr>
        <w:t xml:space="preserve">This runs as a new automated message flow (in MoEngage, the tool already used for Scapia's marketing messages), sitting alongside the existing cross-sell flows rather than replacing them. It fires on two events: a confirmed international booking, or a detected change in the city the user is physically in (based on the phone's own location, not card transaction data).</w:t>
      </w:r>
    </w:p>
    <w:p>
      <w:pPr>
        <w:pStyle w:val="Heading2"/>
        <w:spacing w:after="120" w:before="260"/>
      </w:pPr>
      <w:r>
        <w:rPr>
          <w:b/>
          <w:bCs/>
          <w:color w:val="2E5395"/>
          <w:sz w:val="26"/>
          <w:szCs w:val="26"/>
        </w:rPr>
        <w:t xml:space="preserve">5.2 How we decide which apps to recommend</w:t>
      </w:r>
    </w:p>
    <w:p>
      <w:pPr>
        <w:spacing w:after="160"/>
      </w:pPr>
      <w:r>
        <w:rPr>
          <w:b w:val="false"/>
          <w:bCs w:val="false"/>
          <w:i w:val="false"/>
          <w:iCs w:val="false"/>
          <w:color w:val="222222"/>
          <w:sz w:val="22"/>
          <w:szCs w:val="22"/>
        </w:rPr>
        <w:t xml:space="preserve">This is the real effort behind the feature: deciding, for each city, which two or three apps are actually the right ones. This starts as manual, editorial work — a config sheet, not an algorithm — covering the top 10 to 15 cities first, since those cities account for the large majority of international travel spend (see the data in the Appendix). Later, this can be enriched as real commercial partners come on board and confirm their own coverage.</w:t>
      </w:r>
    </w:p>
    <w:p>
      <w:pPr>
        <w:pStyle w:val="Heading2"/>
        <w:spacing w:after="120" w:before="260"/>
      </w:pPr>
      <w:r>
        <w:rPr>
          <w:b/>
          <w:bCs/>
          <w:color w:val="2E5395"/>
          <w:sz w:val="26"/>
          <w:szCs w:val="26"/>
        </w:rPr>
        <w:t xml:space="preserve">5.3 What the user actually sees</w:t>
      </w:r>
    </w:p>
    <w:p>
      <w:pPr>
        <w:pStyle w:val="ListParagraph"/>
        <w:numPr>
          <w:ilvl w:val="0"/>
          <w:numId w:val="2"/>
        </w:numPr>
        <w:spacing w:after="90"/>
      </w:pPr>
      <w:r>
        <w:rPr>
          <w:color w:val="222222"/>
          <w:sz w:val="22"/>
          <w:szCs w:val="22"/>
        </w:rPr>
        <w:t xml:space="preserve">A push notification and/or WhatsApp message: something like 'Landing in Dubai? Here's what actually works there.'</w:t>
      </w:r>
    </w:p>
    <w:p>
      <w:pPr>
        <w:pStyle w:val="ListParagraph"/>
        <w:numPr>
          <w:ilvl w:val="0"/>
          <w:numId w:val="2"/>
        </w:numPr>
        <w:spacing w:after="90"/>
      </w:pPr>
      <w:r>
        <w:rPr>
          <w:color w:val="222222"/>
          <w:sz w:val="22"/>
          <w:szCs w:val="22"/>
        </w:rPr>
        <w:t xml:space="preserve">Tapping it opens a simple in-app screen with a small number of tiles — Connectivity, Mobility, Food, Safety, Transit.</w:t>
      </w:r>
    </w:p>
    <w:p>
      <w:pPr>
        <w:pStyle w:val="ListParagraph"/>
        <w:numPr>
          <w:ilvl w:val="0"/>
          <w:numId w:val="2"/>
        </w:numPr>
        <w:spacing w:after="90"/>
      </w:pPr>
      <w:r>
        <w:rPr>
          <w:color w:val="222222"/>
          <w:sz w:val="22"/>
          <w:szCs w:val="22"/>
        </w:rPr>
        <w:t xml:space="preserve">Each tile links straight out to that app's store page, or opens the app directly if it's already installed.</w:t>
      </w:r>
    </w:p>
    <w:p>
      <w:pPr>
        <w:pStyle w:val="ListParagraph"/>
        <w:numPr>
          <w:ilvl w:val="0"/>
          <w:numId w:val="2"/>
        </w:numPr>
        <w:spacing w:after="90"/>
      </w:pPr>
      <w:r>
        <w:rPr>
          <w:color w:val="222222"/>
          <w:sz w:val="22"/>
          <w:szCs w:val="22"/>
        </w:rPr>
        <w:t xml:space="preserve">There is no in-app browsing, comparison, or payment handling in this first version — Scapia is only pointing the way, not processing anything. This is what keeps the first version simple and outside any payment-related compliance work.</w:t>
      </w:r>
    </w:p>
    <w:p>
      <w:pPr>
        <w:pStyle w:val="Heading2"/>
        <w:spacing w:after="120" w:before="260"/>
      </w:pPr>
      <w:r>
        <w:rPr>
          <w:b/>
          <w:bCs/>
          <w:color w:val="2E5395"/>
          <w:sz w:val="26"/>
          <w:szCs w:val="26"/>
        </w:rPr>
        <w:t xml:space="preserve">5.4 Rollout plan</w:t>
      </w:r>
    </w:p>
    <w:p>
      <w:pPr>
        <w:pStyle w:val="ListParagraph"/>
        <w:numPr>
          <w:ilvl w:val="0"/>
          <w:numId w:val="2"/>
        </w:numPr>
        <w:spacing w:after="90"/>
      </w:pPr>
      <w:r>
        <w:rPr>
          <w:color w:val="222222"/>
          <w:sz w:val="22"/>
          <w:szCs w:val="22"/>
        </w:rPr>
        <w:t xml:space="preserve">Phase 0 (about 1 month): Build the feature end to end. Launch with 3–5 pilot cities using only apps that need no formal partnership — just accurate, curated public information.</w:t>
      </w:r>
    </w:p>
    <w:p>
      <w:pPr>
        <w:pStyle w:val="ListParagraph"/>
        <w:numPr>
          <w:ilvl w:val="0"/>
          <w:numId w:val="2"/>
        </w:numPr>
        <w:spacing w:after="90"/>
      </w:pPr>
      <w:r>
        <w:rPr>
          <w:color w:val="222222"/>
          <w:sz w:val="22"/>
          <w:szCs w:val="22"/>
        </w:rPr>
        <w:t xml:space="preserve">Phase 1 (roughly 2–4 months after that): Expand to the top 10–15 cities. This is where real conversations with partner apps happen, since finding and confirming the right local partner in each city is the slower part of the work — expanding from one city's coverage to twenty apps across many cities realistically takes three months or more, running in parallel with Phase 0's tech build rather than after it.</w:t>
      </w:r>
    </w:p>
    <w:p>
      <w:pPr>
        <w:spacing w:after="160"/>
      </w:pPr>
      <w:r>
        <w:rPr>
          <w:b w:val="false"/>
          <w:bCs w:val="false"/>
          <w:i w:val="false"/>
          <w:iCs w:val="false"/>
          <w:color w:val="222222"/>
          <w:sz w:val="22"/>
          <w:szCs w:val="22"/>
        </w:rPr>
        <w:t xml:space="preserve">A useful distinction to keep in mind throughout: recommending an app and linking to its store page needs no formal agreement with that company at all — that only becomes necessary later, once Scapia wants a revenue share from it.</w:t>
      </w:r>
    </w:p>
    <w:p>
      <w:pPr>
        <w:pStyle w:val="Heading2"/>
        <w:spacing w:after="120" w:before="260"/>
      </w:pPr>
      <w:r>
        <w:rPr>
          <w:b/>
          <w:bCs/>
          <w:color w:val="2E5395"/>
          <w:sz w:val="26"/>
          <w:szCs w:val="26"/>
        </w:rPr>
        <w:t xml:space="preserve">5.5 Where to launch first — grounded in real Scapia data</w:t>
      </w:r>
    </w:p>
    <w:p>
      <w:pPr>
        <w:spacing w:after="160"/>
      </w:pPr>
      <w:r>
        <w:rPr>
          <w:b w:val="false"/>
          <w:bCs w:val="false"/>
          <w:i w:val="false"/>
          <w:iCs w:val="false"/>
          <w:color w:val="222222"/>
          <w:sz w:val="22"/>
          <w:szCs w:val="22"/>
        </w:rPr>
        <w:t xml:space="preserve">To avoid guessing at which cities matter most, we pulled the last 12 months of Scapia's actual international travel data (flights, hotel stays, and Experiences bookings combined). Two things stood out:</w:t>
      </w:r>
    </w:p>
    <w:p>
      <w:pPr>
        <w:pStyle w:val="ListParagraph"/>
        <w:numPr>
          <w:ilvl w:val="0"/>
          <w:numId w:val="2"/>
        </w:numPr>
        <w:spacing w:after="90"/>
      </w:pPr>
      <w:r>
        <w:rPr>
          <w:color w:val="222222"/>
          <w:sz w:val="22"/>
          <w:szCs w:val="22"/>
        </w:rPr>
        <w:t xml:space="preserve">The 80/20 pattern holds, and is if anything slightly sharper: the top 20 destination countries account for roughly 86–93% of all international travel spend on Scapia, out of well over 90 countries travelled to in total.</w:t>
      </w:r>
    </w:p>
    <w:p>
      <w:pPr>
        <w:pStyle w:val="ListParagraph"/>
        <w:numPr>
          <w:ilvl w:val="0"/>
          <w:numId w:val="2"/>
        </w:numPr>
        <w:spacing w:after="90"/>
      </w:pPr>
      <w:r>
        <w:rPr>
          <w:color w:val="222222"/>
          <w:sz w:val="22"/>
          <w:szCs w:val="22"/>
        </w:rPr>
        <w:t xml:space="preserve">Southeast Asia alone (Thailand, Vietnam, Malaysia, Singapore, Indonesia) makes up about 46% of total international spend — more than the Middle East, Europe, and US/Canada/Mexico combined.</w:t>
      </w:r>
    </w:p>
    <w:p>
      <w:pPr>
        <w:spacing w:after="160"/>
      </w:pPr>
      <w:r>
        <w:rPr>
          <w:b w:val="false"/>
          <w:bCs w:val="false"/>
          <w:i w:val="false"/>
          <w:iCs w:val="false"/>
          <w:color w:val="222222"/>
          <w:sz w:val="22"/>
          <w:szCs w:val="22"/>
        </w:rPr>
        <w:t xml:space="preserve">Based on this, the recommended Phase 0 pilot cities are: Bangkok, Phuket, Dubai, Hanoi, Singapore, Abu Dhabi, and Kuala Lumpur (full reasoning and the underlying numbers are in Appendix C). A separate, detailed reference sheet has also been built covering the actual recommended local apps — mobility, food, safety, communication, and more — across the top 20 countries, for use directly as a curation source.</w:t>
      </w:r>
    </w:p>
    <w:p>
      <w:pPr>
        <w:pStyle w:val="Heading1"/>
        <w:pBdr>
          <w:bottom w:val="single" w:color="1F3864" w:sz="6" w:space="4"/>
        </w:pBdr>
        <w:spacing w:after="180" w:before="420"/>
      </w:pPr>
      <w:r>
        <w:rPr>
          <w:b/>
          <w:bCs/>
          <w:color w:val="1F3864"/>
          <w:sz w:val="32"/>
          <w:szCs w:val="32"/>
        </w:rPr>
        <w:t xml:space="preserve">6. Business Angle</w:t>
      </w:r>
    </w:p>
    <w:p>
      <w:pPr>
        <w:pStyle w:val="Heading2"/>
        <w:spacing w:after="120" w:before="260"/>
      </w:pPr>
      <w:r>
        <w:rPr>
          <w:b/>
          <w:bCs/>
          <w:color w:val="2E5395"/>
          <w:sz w:val="26"/>
          <w:szCs w:val="26"/>
        </w:rPr>
        <w:t xml:space="preserve">6.1 How this makes money — eventually</w:t>
      </w:r>
    </w:p>
    <w:p>
      <w:pPr>
        <w:spacing w:after="160"/>
      </w:pPr>
      <w:r>
        <w:rPr>
          <w:b w:val="false"/>
          <w:bCs w:val="false"/>
          <w:i w:val="false"/>
          <w:iCs w:val="false"/>
          <w:color w:val="222222"/>
          <w:sz w:val="22"/>
          <w:szCs w:val="22"/>
        </w:rPr>
        <w:t xml:space="preserve">The first version is deliberately built with no revenue mechanism at all. Success for Phase 0 and Phase 1 is measured purely through engagement: how often people open the app during a trip, how often they tap a tile, and whether people who saw the nudge come back to the app more than people who didn't.</w:t>
      </w:r>
    </w:p>
    <w:p>
      <w:pPr>
        <w:spacing w:after="160"/>
      </w:pPr>
      <w:r>
        <w:rPr>
          <w:b w:val="false"/>
          <w:bCs w:val="false"/>
          <w:i w:val="false"/>
          <w:iCs w:val="false"/>
          <w:color w:val="222222"/>
          <w:sz w:val="22"/>
          <w:szCs w:val="22"/>
        </w:rPr>
        <w:t xml:space="preserve">When it's time to add revenue, the cleanest path is something called Card-Linked Offers, or CLO — a model that card companies like Mastercard and Visa are already actively rolling out through 2026. In simple terms: the card app shows a relevant partner offer, and if the cardholder uses it, the partner pays the card company a small share of that transaction. This is a better fit than building a custom tracking system from scratch, because it rides on infrastructure the card industry is already building anyway.</w:t>
      </w:r>
    </w:p>
    <w:p>
      <w:pPr>
        <w:pStyle w:val="Heading2"/>
        <w:spacing w:after="120" w:before="260"/>
      </w:pPr>
      <w:r>
        <w:rPr>
          <w:b/>
          <w:bCs/>
          <w:color w:val="2E5395"/>
          <w:sz w:val="26"/>
          <w:szCs w:val="26"/>
        </w:rPr>
        <w:t xml:space="preserve">6.2 Risks to watch</w:t>
      </w:r>
    </w:p>
    <w:p>
      <w:pPr>
        <w:spacing w:after="160"/>
      </w:pPr>
      <w:r>
        <w:rPr>
          <w:b w:val="false"/>
          <w:bCs w:val="false"/>
          <w:i/>
          <w:iCs/>
          <w:color w:val="222222"/>
          <w:sz w:val="22"/>
          <w:szCs w:val="22"/>
        </w:rPr>
        <w:t xml:space="preserve">None of the items below are reasons to stop building this. Most are cheap process fixes; only one is worth treating as a genuine pre-launch checkpoint.</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dxa" w:w="2300"/>
            <w:shd w:fill="1F3864" w:color="auto" w:val="clear"/>
            <w:tcMar>
              <w:top w:type="dxa" w:w="80"/>
              <w:left w:type="dxa" w:w="100"/>
              <w:bottom w:type="dxa" w:w="80"/>
              <w:right w:type="dxa" w:w="100"/>
            </w:tcMar>
            <w:vAlign w:val="center"/>
          </w:tcPr>
          <w:p>
            <w:pPr>
              <w:jc w:val="left"/>
            </w:pPr>
            <w:r>
              <w:rPr>
                <w:b/>
                <w:bCs/>
                <w:color w:val="FFFFFF"/>
                <w:sz w:val="19"/>
                <w:szCs w:val="19"/>
              </w:rPr>
              <w:t xml:space="preserve">Risk</w:t>
            </w:r>
          </w:p>
        </w:tc>
        <w:tc>
          <w:tcPr>
            <w:tcW w:type="dxa" w:w="1400"/>
            <w:shd w:fill="1F3864" w:color="auto" w:val="clear"/>
            <w:tcMar>
              <w:top w:type="dxa" w:w="80"/>
              <w:left w:type="dxa" w:w="100"/>
              <w:bottom w:type="dxa" w:w="80"/>
              <w:right w:type="dxa" w:w="100"/>
            </w:tcMar>
            <w:vAlign w:val="center"/>
          </w:tcPr>
          <w:p>
            <w:pPr>
              <w:jc w:val="left"/>
            </w:pPr>
            <w:r>
              <w:rPr>
                <w:b/>
                <w:bCs/>
                <w:color w:val="FFFFFF"/>
                <w:sz w:val="19"/>
                <w:szCs w:val="19"/>
              </w:rPr>
              <w:t xml:space="preserve">How serious</w:t>
            </w:r>
          </w:p>
        </w:tc>
        <w:tc>
          <w:tcPr>
            <w:tcW w:type="dxa" w:w="5326"/>
            <w:shd w:fill="1F3864" w:color="auto" w:val="clear"/>
            <w:tcMar>
              <w:top w:type="dxa" w:w="80"/>
              <w:left w:type="dxa" w:w="100"/>
              <w:bottom w:type="dxa" w:w="80"/>
              <w:right w:type="dxa" w:w="100"/>
            </w:tcMar>
            <w:vAlign w:val="center"/>
          </w:tcPr>
          <w:p>
            <w:pPr>
              <w:jc w:val="left"/>
            </w:pPr>
            <w:r>
              <w:rPr>
                <w:b/>
                <w:bCs/>
                <w:color w:val="FFFFFF"/>
                <w:sz w:val="19"/>
                <w:szCs w:val="19"/>
              </w:rPr>
              <w:t xml:space="preserve">What to actually do about it</w:t>
            </w:r>
          </w:p>
        </w:tc>
      </w:tr>
      <w:tr>
        <w:tc>
          <w:tcPr>
            <w:tcW w:type="dxa" w:w="2300"/>
            <w:tcMar>
              <w:top w:type="dxa" w:w="80"/>
              <w:left w:type="dxa" w:w="100"/>
              <w:bottom w:type="dxa" w:w="80"/>
              <w:right w:type="dxa" w:w="100"/>
            </w:tcMar>
            <w:vAlign w:val="center"/>
          </w:tcPr>
          <w:p>
            <w:pPr>
              <w:jc w:val="left"/>
            </w:pPr>
            <w:r>
              <w:rPr>
                <w:b w:val="false"/>
                <w:bCs w:val="false"/>
                <w:color w:val="222222"/>
                <w:sz w:val="19"/>
                <w:szCs w:val="19"/>
              </w:rPr>
              <w:t xml:space="preserve">Naming a third-party app without any agreement</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Low</w:t>
            </w:r>
          </w:p>
        </w:tc>
        <w:tc>
          <w:tcPr>
            <w:tcW w:type="dxa" w:w="5326"/>
            <w:tcMar>
              <w:top w:type="dxa" w:w="80"/>
              <w:left w:type="dxa" w:w="100"/>
              <w:bottom w:type="dxa" w:w="80"/>
              <w:right w:type="dxa" w:w="100"/>
            </w:tcMar>
            <w:vAlign w:val="center"/>
          </w:tcPr>
          <w:p>
            <w:pPr>
              <w:jc w:val="left"/>
            </w:pPr>
            <w:r>
              <w:rPr>
                <w:b w:val="false"/>
                <w:bCs w:val="false"/>
                <w:color w:val="222222"/>
                <w:sz w:val="19"/>
                <w:szCs w:val="19"/>
              </w:rPr>
              <w:t xml:space="preserve">Keep the wording neutral and factual ('apps that could help'), not implying an official partnership. Fine as long as it isn't framed as endorsement.</w:t>
            </w:r>
          </w:p>
        </w:tc>
      </w:tr>
      <w:tr>
        <w:tc>
          <w:tcPr>
            <w:tcW w:type="dxa" w:w="2300"/>
            <w:tcMar>
              <w:top w:type="dxa" w:w="80"/>
              <w:left w:type="dxa" w:w="100"/>
              <w:bottom w:type="dxa" w:w="80"/>
              <w:right w:type="dxa" w:w="100"/>
            </w:tcMar>
            <w:vAlign w:val="center"/>
          </w:tcPr>
          <w:p>
            <w:pPr>
              <w:jc w:val="left"/>
            </w:pPr>
            <w:r>
              <w:rPr>
                <w:b w:val="false"/>
                <w:bCs w:val="false"/>
                <w:color w:val="222222"/>
                <w:sz w:val="19"/>
                <w:szCs w:val="19"/>
              </w:rPr>
              <w:t xml:space="preserve">Using location data for a new purpose</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Worth confirming before launch</w:t>
            </w:r>
          </w:p>
        </w:tc>
        <w:tc>
          <w:tcPr>
            <w:tcW w:type="dxa" w:w="5326"/>
            <w:tcMar>
              <w:top w:type="dxa" w:w="80"/>
              <w:left w:type="dxa" w:w="100"/>
              <w:bottom w:type="dxa" w:w="80"/>
              <w:right w:type="dxa" w:w="100"/>
            </w:tcMar>
            <w:vAlign w:val="center"/>
          </w:tcPr>
          <w:p>
            <w:pPr>
              <w:jc w:val="left"/>
            </w:pPr>
            <w:r>
              <w:rPr>
                <w:b w:val="false"/>
                <w:bCs w:val="false"/>
                <w:color w:val="222222"/>
                <w:sz w:val="19"/>
                <w:szCs w:val="19"/>
              </w:rPr>
              <w:t xml:space="preserve">Since the trigger is the phone's own location (not card transaction data), this is a low-risk, existing type of data use — but double-check that Scapia's current privacy policy wording already covers 'recommending third-party apps,' not just 'recommending Scapia's own products.' A quick, one-line addition if it doesn't.</w:t>
            </w:r>
          </w:p>
        </w:tc>
      </w:tr>
      <w:tr>
        <w:tc>
          <w:tcPr>
            <w:tcW w:type="dxa" w:w="2300"/>
            <w:tcMar>
              <w:top w:type="dxa" w:w="80"/>
              <w:left w:type="dxa" w:w="100"/>
              <w:bottom w:type="dxa" w:w="80"/>
              <w:right w:type="dxa" w:w="100"/>
            </w:tcMar>
            <w:vAlign w:val="center"/>
          </w:tcPr>
          <w:p>
            <w:pPr>
              <w:jc w:val="left"/>
            </w:pPr>
            <w:r>
              <w:rPr>
                <w:b w:val="false"/>
                <w:bCs w:val="false"/>
                <w:color w:val="222222"/>
                <w:sz w:val="19"/>
                <w:szCs w:val="19"/>
              </w:rPr>
              <w:t xml:space="preserve">WhatsApp message approval</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Practical, not legal</w:t>
            </w:r>
          </w:p>
        </w:tc>
        <w:tc>
          <w:tcPr>
            <w:tcW w:type="dxa" w:w="5326"/>
            <w:tcMar>
              <w:top w:type="dxa" w:w="80"/>
              <w:left w:type="dxa" w:w="100"/>
              <w:bottom w:type="dxa" w:w="80"/>
              <w:right w:type="dxa" w:w="100"/>
            </w:tcMar>
            <w:vAlign w:val="center"/>
          </w:tcPr>
          <w:p>
            <w:pPr>
              <w:jc w:val="left"/>
            </w:pPr>
            <w:r>
              <w:rPr>
                <w:b w:val="false"/>
                <w:bCs w:val="false"/>
                <w:color w:val="222222"/>
                <w:sz w:val="19"/>
                <w:szCs w:val="19"/>
              </w:rPr>
              <w:t xml:space="preserve">Meta may classify these messages as marketing rather than a simple utility update, which affects approval speed. Submit a draft template early in the build, not the week of launch.</w:t>
            </w:r>
          </w:p>
        </w:tc>
      </w:tr>
      <w:tr>
        <w:tc>
          <w:tcPr>
            <w:tcW w:type="dxa" w:w="2300"/>
            <w:tcMar>
              <w:top w:type="dxa" w:w="80"/>
              <w:left w:type="dxa" w:w="100"/>
              <w:bottom w:type="dxa" w:w="80"/>
              <w:right w:type="dxa" w:w="100"/>
            </w:tcMar>
            <w:vAlign w:val="center"/>
          </w:tcPr>
          <w:p>
            <w:pPr>
              <w:jc w:val="left"/>
            </w:pPr>
            <w:r>
              <w:rPr>
                <w:b w:val="false"/>
                <w:bCs w:val="false"/>
                <w:color w:val="222222"/>
                <w:sz w:val="19"/>
                <w:szCs w:val="19"/>
              </w:rPr>
              <w:t xml:space="preserve">Safety / embassy information accuracy</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Medium</w:t>
            </w:r>
          </w:p>
        </w:tc>
        <w:tc>
          <w:tcPr>
            <w:tcW w:type="dxa" w:w="5326"/>
            <w:tcMar>
              <w:top w:type="dxa" w:w="80"/>
              <w:left w:type="dxa" w:w="100"/>
              <w:bottom w:type="dxa" w:w="80"/>
              <w:right w:type="dxa" w:w="100"/>
            </w:tcMar>
            <w:vAlign w:val="center"/>
          </w:tcPr>
          <w:p>
            <w:pPr>
              <w:jc w:val="left"/>
            </w:pPr>
            <w:r>
              <w:rPr>
                <w:b w:val="false"/>
                <w:bCs w:val="false"/>
                <w:color w:val="222222"/>
                <w:sz w:val="19"/>
                <w:szCs w:val="19"/>
              </w:rPr>
              <w:t xml:space="preserve">Wrong emergency numbers or an outdated embassy address is a worse failure than a bad restaurant-app suggestion. Pull this from an official, regularly updated government source rather than hand-curating it the way other tiles are curated.</w:t>
            </w:r>
          </w:p>
        </w:tc>
      </w:tr>
      <w:tr>
        <w:tc>
          <w:tcPr>
            <w:tcW w:type="dxa" w:w="2300"/>
            <w:tcMar>
              <w:top w:type="dxa" w:w="80"/>
              <w:left w:type="dxa" w:w="100"/>
              <w:bottom w:type="dxa" w:w="80"/>
              <w:right w:type="dxa" w:w="100"/>
            </w:tcMar>
            <w:vAlign w:val="center"/>
          </w:tcPr>
          <w:p>
            <w:pPr>
              <w:jc w:val="left"/>
            </w:pPr>
            <w:r>
              <w:rPr>
                <w:b w:val="false"/>
                <w:bCs w:val="false"/>
                <w:color w:val="222222"/>
                <w:sz w:val="19"/>
                <w:szCs w:val="19"/>
              </w:rPr>
              <w:t xml:space="preserve">Politically sensitive content (banned apps, disputed borders)</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Low, but real</w:t>
            </w:r>
          </w:p>
        </w:tc>
        <w:tc>
          <w:tcPr>
            <w:tcW w:type="dxa" w:w="5326"/>
            <w:tcMar>
              <w:top w:type="dxa" w:w="80"/>
              <w:left w:type="dxa" w:w="100"/>
              <w:bottom w:type="dxa" w:w="80"/>
              <w:right w:type="dxa" w:w="100"/>
            </w:tcMar>
            <w:vAlign w:val="center"/>
          </w:tcPr>
          <w:p>
            <w:pPr>
              <w:jc w:val="left"/>
            </w:pPr>
            <w:r>
              <w:rPr>
                <w:b w:val="false"/>
                <w:bCs w:val="false"/>
                <w:color w:val="222222"/>
                <w:sz w:val="19"/>
                <w:szCs w:val="19"/>
              </w:rPr>
              <w:t xml:space="preserve">A lightweight checklist during curation for each city is enough — this doesn't need a full legal review.</w:t>
            </w:r>
          </w:p>
        </w:tc>
      </w:tr>
      <w:tr>
        <w:tc>
          <w:tcPr>
            <w:tcW w:type="dxa" w:w="2300"/>
            <w:tcMar>
              <w:top w:type="dxa" w:w="80"/>
              <w:left w:type="dxa" w:w="100"/>
              <w:bottom w:type="dxa" w:w="80"/>
              <w:right w:type="dxa" w:w="100"/>
            </w:tcMar>
            <w:vAlign w:val="center"/>
          </w:tcPr>
          <w:p>
            <w:pPr>
              <w:jc w:val="left"/>
            </w:pPr>
            <w:r>
              <w:rPr>
                <w:b w:val="false"/>
                <w:bCs w:val="false"/>
                <w:color w:val="222222"/>
                <w:sz w:val="19"/>
                <w:szCs w:val="19"/>
              </w:rPr>
              <w:t xml:space="preserve">A recommended app gives the user a bad experience</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Medium-high (most likely to actually happen)</w:t>
            </w:r>
          </w:p>
        </w:tc>
        <w:tc>
          <w:tcPr>
            <w:tcW w:type="dxa" w:w="5326"/>
            <w:tcMar>
              <w:top w:type="dxa" w:w="80"/>
              <w:left w:type="dxa" w:w="100"/>
              <w:bottom w:type="dxa" w:w="80"/>
              <w:right w:type="dxa" w:w="100"/>
            </w:tcMar>
            <w:vAlign w:val="center"/>
          </w:tcPr>
          <w:p>
            <w:pPr>
              <w:jc w:val="left"/>
            </w:pPr>
            <w:r>
              <w:rPr>
                <w:b w:val="false"/>
                <w:bCs w:val="false"/>
                <w:color w:val="222222"/>
                <w:sz w:val="19"/>
                <w:szCs w:val="19"/>
              </w:rPr>
              <w:t xml:space="preserve">Scapia doesn't control the third-party app's uptime, pricing, or quality, but a bad experience still reflects on Scapia's brand. Add a clear 'recommended, not an official partner' note, plus a simple thumbs-up/down on each tile so bad recommendations get caught quickly.</w:t>
            </w:r>
          </w:p>
        </w:tc>
      </w:tr>
      <w:tr>
        <w:tc>
          <w:tcPr>
            <w:tcW w:type="dxa" w:w="2300"/>
            <w:tcMar>
              <w:top w:type="dxa" w:w="80"/>
              <w:left w:type="dxa" w:w="100"/>
              <w:bottom w:type="dxa" w:w="80"/>
              <w:right w:type="dxa" w:w="100"/>
            </w:tcMar>
            <w:vAlign w:val="center"/>
          </w:tcPr>
          <w:p>
            <w:pPr>
              <w:jc w:val="left"/>
            </w:pPr>
            <w:r>
              <w:rPr>
                <w:b w:val="false"/>
                <w:bCs w:val="false"/>
                <w:color w:val="222222"/>
                <w:sz w:val="19"/>
                <w:szCs w:val="19"/>
              </w:rPr>
              <w:t xml:space="preserve">Cross-border commission payments, and payment-related rules</w:t>
            </w:r>
          </w:p>
        </w:tc>
        <w:tc>
          <w:tcPr>
            <w:tcW w:type="dxa" w:w="1400"/>
            <w:tcMar>
              <w:top w:type="dxa" w:w="80"/>
              <w:left w:type="dxa" w:w="100"/>
              <w:bottom w:type="dxa" w:w="80"/>
              <w:right w:type="dxa" w:w="100"/>
            </w:tcMar>
            <w:vAlign w:val="center"/>
          </w:tcPr>
          <w:p>
            <w:pPr>
              <w:jc w:val="left"/>
            </w:pPr>
            <w:r>
              <w:rPr>
                <w:b w:val="false"/>
                <w:bCs w:val="false"/>
                <w:color w:val="222222"/>
                <w:sz w:val="19"/>
                <w:szCs w:val="19"/>
              </w:rPr>
              <w:t xml:space="preserve">Deferred — only relevant later</w:t>
            </w:r>
          </w:p>
        </w:tc>
        <w:tc>
          <w:tcPr>
            <w:tcW w:type="dxa" w:w="5326"/>
            <w:tcMar>
              <w:top w:type="dxa" w:w="80"/>
              <w:left w:type="dxa" w:w="100"/>
              <w:bottom w:type="dxa" w:w="80"/>
              <w:right w:type="dxa" w:w="100"/>
            </w:tcMar>
            <w:vAlign w:val="center"/>
          </w:tcPr>
          <w:p>
            <w:pPr>
              <w:jc w:val="left"/>
            </w:pPr>
            <w:r>
              <w:rPr>
                <w:b w:val="false"/>
                <w:bCs w:val="false"/>
                <w:color w:val="222222"/>
                <w:sz w:val="19"/>
                <w:szCs w:val="19"/>
              </w:rPr>
              <w:t xml:space="preserve">Only becomes relevant once the paid partnership/CLO layer is added in a later phase. Doesn't affect anything being built now.</w:t>
            </w:r>
          </w:p>
        </w:tc>
      </w:tr>
    </w:tbl>
    <w:p>
      <w:r>
        <w:br w:type="page"/>
      </w:r>
    </w:p>
    <w:p>
      <w:pPr>
        <w:pStyle w:val="Heading1"/>
        <w:pBdr>
          <w:bottom w:val="single" w:color="1F3864" w:sz="6" w:space="4"/>
        </w:pBdr>
        <w:spacing w:after="180" w:before="420"/>
      </w:pPr>
      <w:r>
        <w:rPr>
          <w:b/>
          <w:bCs/>
          <w:color w:val="1F3864"/>
          <w:sz w:val="32"/>
          <w:szCs w:val="32"/>
        </w:rPr>
        <w:t xml:space="preserve">Appendix: Supporting Data</w:t>
      </w:r>
    </w:p>
    <w:p>
      <w:pPr>
        <w:spacing w:after="160"/>
      </w:pPr>
      <w:r>
        <w:rPr>
          <w:b w:val="false"/>
          <w:bCs w:val="false"/>
          <w:i/>
          <w:iCs/>
          <w:color w:val="222222"/>
          <w:sz w:val="22"/>
          <w:szCs w:val="22"/>
        </w:rPr>
        <w:t xml:space="preserve">All figures below cover the last 12 months of Scapia's international travel activity, combining Flights, Hotel Stays, and Experiences bookings, pulled directly from Scapia's data systems.</w:t>
      </w:r>
    </w:p>
    <w:p>
      <w:pPr>
        <w:pStyle w:val="Heading2"/>
        <w:spacing w:after="120" w:before="260"/>
      </w:pPr>
      <w:r>
        <w:rPr>
          <w:b/>
          <w:bCs/>
          <w:color w:val="2E5395"/>
          <w:sz w:val="26"/>
          <w:szCs w:val="26"/>
        </w:rPr>
        <w:t xml:space="preserve">A. Top 20 International Destinations (by unique travelers)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dxa" w:w="3026"/>
            <w:shd w:fill="1F3864" w:color="auto" w:val="clear"/>
            <w:tcMar>
              <w:top w:type="dxa" w:w="80"/>
              <w:left w:type="dxa" w:w="100"/>
              <w:bottom w:type="dxa" w:w="80"/>
              <w:right w:type="dxa" w:w="100"/>
            </w:tcMar>
            <w:vAlign w:val="center"/>
          </w:tcPr>
          <w:p>
            <w:pPr>
              <w:jc w:val="left"/>
            </w:pPr>
            <w:r>
              <w:rPr>
                <w:b/>
                <w:bCs/>
                <w:color w:val="FFFFFF"/>
                <w:sz w:val="19"/>
                <w:szCs w:val="19"/>
              </w:rPr>
              <w:t xml:space="preserve">Country</w:t>
            </w:r>
          </w:p>
        </w:tc>
        <w:tc>
          <w:tcPr>
            <w:tcW w:type="dxa" w:w="2200"/>
            <w:shd w:fill="1F3864" w:color="auto" w:val="clear"/>
            <w:tcMar>
              <w:top w:type="dxa" w:w="80"/>
              <w:left w:type="dxa" w:w="100"/>
              <w:bottom w:type="dxa" w:w="80"/>
              <w:right w:type="dxa" w:w="100"/>
            </w:tcMar>
            <w:vAlign w:val="center"/>
          </w:tcPr>
          <w:p>
            <w:pPr>
              <w:jc w:val="center"/>
            </w:pPr>
            <w:r>
              <w:rPr>
                <w:b/>
                <w:bCs/>
                <w:color w:val="FFFFFF"/>
                <w:sz w:val="19"/>
                <w:szCs w:val="19"/>
              </w:rPr>
              <w:t xml:space="preserve">Unique Travelers</w:t>
            </w:r>
          </w:p>
        </w:tc>
        <w:tc>
          <w:tcPr>
            <w:tcW w:type="dxa" w:w="2000"/>
            <w:shd w:fill="1F3864" w:color="auto" w:val="clear"/>
            <w:tcMar>
              <w:top w:type="dxa" w:w="80"/>
              <w:left w:type="dxa" w:w="100"/>
              <w:bottom w:type="dxa" w:w="80"/>
              <w:right w:type="dxa" w:w="100"/>
            </w:tcMar>
            <w:vAlign w:val="center"/>
          </w:tcPr>
          <w:p>
            <w:pPr>
              <w:jc w:val="center"/>
            </w:pPr>
            <w:r>
              <w:rPr>
                <w:b/>
                <w:bCs/>
                <w:color w:val="FFFFFF"/>
                <w:sz w:val="19"/>
                <w:szCs w:val="19"/>
              </w:rPr>
              <w:t xml:space="preserve">Total Bookings</w:t>
            </w:r>
          </w:p>
        </w:tc>
        <w:tc>
          <w:tcPr>
            <w:tcW w:type="dxa" w:w="1800"/>
            <w:shd w:fill="1F3864" w:color="auto" w:val="clear"/>
            <w:tcMar>
              <w:top w:type="dxa" w:w="80"/>
              <w:left w:type="dxa" w:w="100"/>
              <w:bottom w:type="dxa" w:w="80"/>
              <w:right w:type="dxa" w:w="100"/>
            </w:tcMar>
            <w:vAlign w:val="center"/>
          </w:tcPr>
          <w:p>
            <w:pPr>
              <w:jc w:val="center"/>
            </w:pPr>
            <w:r>
              <w:rPr>
                <w:b/>
                <w:bCs/>
                <w:color w:val="FFFFFF"/>
                <w:sz w:val="19"/>
                <w:szCs w:val="19"/>
              </w:rPr>
              <w:t xml:space="preserve">Spend (₹ Cr)</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Thailand</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5,552</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8,320</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29.64</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UAE</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2,988</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4,355</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16.23</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Vietnam</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2,639</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4,367</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17.45</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Singapore</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1,826</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2,557</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11.17</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Malaysia</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1,670</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2,373</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7.72</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Indonesia</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1,128</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1,569</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5.96</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USA</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982</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1,478</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8.09</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Sri Lanka</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943</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1,428</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4.45</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Japan</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751</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1,406</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5.80</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UK</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701</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983</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4.62</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France</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479</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633</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2.90</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Switzerland</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465</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688</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4.04</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Nepal</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427</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554</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1.39</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Saudi Arabia</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407</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561</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2.65</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Netherlands</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393</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540</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2.65</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Hong Kong</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368</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489</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2.49</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Germany</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350</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471</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2.09</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Oman</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313</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443</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1.50</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Italy</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283</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404</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1.26</w:t>
            </w:r>
          </w:p>
        </w:tc>
      </w:tr>
      <w:tr>
        <w:tc>
          <w:tcPr>
            <w:tcW w:type="dxa" w:w="3026"/>
            <w:tcMar>
              <w:top w:type="dxa" w:w="80"/>
              <w:left w:type="dxa" w:w="100"/>
              <w:bottom w:type="dxa" w:w="80"/>
              <w:right w:type="dxa" w:w="100"/>
            </w:tcMar>
            <w:vAlign w:val="center"/>
          </w:tcPr>
          <w:p>
            <w:pPr>
              <w:jc w:val="left"/>
            </w:pPr>
            <w:r>
              <w:rPr>
                <w:b w:val="false"/>
                <w:bCs w:val="false"/>
                <w:color w:val="222222"/>
                <w:sz w:val="19"/>
                <w:szCs w:val="19"/>
              </w:rPr>
              <w:t xml:space="preserve">Australia</w:t>
            </w:r>
          </w:p>
        </w:tc>
        <w:tc>
          <w:tcPr>
            <w:tcW w:type="dxa" w:w="2200"/>
            <w:tcMar>
              <w:top w:type="dxa" w:w="80"/>
              <w:left w:type="dxa" w:w="100"/>
              <w:bottom w:type="dxa" w:w="80"/>
              <w:right w:type="dxa" w:w="100"/>
            </w:tcMar>
            <w:vAlign w:val="center"/>
          </w:tcPr>
          <w:p>
            <w:pPr>
              <w:jc w:val="center"/>
            </w:pPr>
            <w:r>
              <w:rPr>
                <w:b w:val="false"/>
                <w:bCs w:val="false"/>
                <w:color w:val="222222"/>
                <w:sz w:val="19"/>
                <w:szCs w:val="19"/>
              </w:rPr>
              <w:t xml:space="preserve">282</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388</w:t>
            </w:r>
          </w:p>
        </w:tc>
        <w:tc>
          <w:tcPr>
            <w:tcW w:type="dxa" w:w="1800"/>
            <w:tcMar>
              <w:top w:type="dxa" w:w="80"/>
              <w:left w:type="dxa" w:w="100"/>
              <w:bottom w:type="dxa" w:w="80"/>
              <w:right w:type="dxa" w:w="100"/>
            </w:tcMar>
            <w:vAlign w:val="center"/>
          </w:tcPr>
          <w:p>
            <w:pPr>
              <w:jc w:val="center"/>
            </w:pPr>
            <w:r>
              <w:rPr>
                <w:b w:val="false"/>
                <w:bCs w:val="false"/>
                <w:color w:val="222222"/>
                <w:sz w:val="19"/>
                <w:szCs w:val="19"/>
              </w:rPr>
              <w:t xml:space="preserve">2.60</w:t>
            </w:r>
          </w:p>
        </w:tc>
      </w:tr>
    </w:tbl>
    <w:p>
      <w:pPr>
        <w:spacing w:after="240"/>
      </w:pPr>
      <w:r>
        <w:rPr>
          <w:b w:val="false"/>
          <w:bCs w:val="false"/>
          <w:i w:val="false"/>
          <w:iCs w:val="false"/>
          <w:color w:val="222222"/>
          <w:sz w:val="22"/>
          <w:szCs w:val="22"/>
        </w:rPr>
        <w:t xml:space="preserve">Grand total across all international destinations: 24,077 unique travelers, 40,001 bookings, ₹158.75 Cr combined spend.</w:t>
      </w:r>
    </w:p>
    <w:p>
      <w:pPr>
        <w:pStyle w:val="Heading2"/>
        <w:spacing w:after="120" w:before="260"/>
      </w:pPr>
      <w:r>
        <w:rPr>
          <w:b/>
          <w:bCs/>
          <w:color w:val="2E5395"/>
          <w:sz w:val="26"/>
          <w:szCs w:val="26"/>
        </w:rPr>
        <w:t xml:space="preserve">B. Spend by World Region</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tblGrid>
      <w:tr>
        <w:trPr>
          <w:tblHeader/>
        </w:trPr>
        <w:tc>
          <w:tcPr>
            <w:tcW w:type="dxa" w:w="3826"/>
            <w:shd w:fill="1F3864" w:color="auto" w:val="clear"/>
            <w:tcMar>
              <w:top w:type="dxa" w:w="80"/>
              <w:left w:type="dxa" w:w="100"/>
              <w:bottom w:type="dxa" w:w="80"/>
              <w:right w:type="dxa" w:w="100"/>
            </w:tcMar>
            <w:vAlign w:val="center"/>
          </w:tcPr>
          <w:p>
            <w:pPr>
              <w:jc w:val="left"/>
            </w:pPr>
            <w:r>
              <w:rPr>
                <w:b/>
                <w:bCs/>
                <w:color w:val="FFFFFF"/>
                <w:sz w:val="19"/>
                <w:szCs w:val="19"/>
              </w:rPr>
              <w:t xml:space="preserve">Region</w:t>
            </w:r>
          </w:p>
        </w:tc>
        <w:tc>
          <w:tcPr>
            <w:tcW w:type="dxa" w:w="2000"/>
            <w:shd w:fill="1F3864" w:color="auto" w:val="clear"/>
            <w:tcMar>
              <w:top w:type="dxa" w:w="80"/>
              <w:left w:type="dxa" w:w="100"/>
              <w:bottom w:type="dxa" w:w="80"/>
              <w:right w:type="dxa" w:w="100"/>
            </w:tcMar>
            <w:vAlign w:val="center"/>
          </w:tcPr>
          <w:p>
            <w:pPr>
              <w:jc w:val="center"/>
            </w:pPr>
            <w:r>
              <w:rPr>
                <w:b/>
                <w:bCs/>
                <w:color w:val="FFFFFF"/>
                <w:sz w:val="19"/>
                <w:szCs w:val="19"/>
              </w:rPr>
              <w:t xml:space="preserve">Unique Travelers</w:t>
            </w:r>
          </w:p>
        </w:tc>
        <w:tc>
          <w:tcPr>
            <w:tcW w:type="dxa" w:w="1600"/>
            <w:shd w:fill="1F3864" w:color="auto" w:val="clear"/>
            <w:tcMar>
              <w:top w:type="dxa" w:w="80"/>
              <w:left w:type="dxa" w:w="100"/>
              <w:bottom w:type="dxa" w:w="80"/>
              <w:right w:type="dxa" w:w="100"/>
            </w:tcMar>
            <w:vAlign w:val="center"/>
          </w:tcPr>
          <w:p>
            <w:pPr>
              <w:jc w:val="center"/>
            </w:pPr>
            <w:r>
              <w:rPr>
                <w:b/>
                <w:bCs/>
                <w:color w:val="FFFFFF"/>
                <w:sz w:val="19"/>
                <w:szCs w:val="19"/>
              </w:rPr>
              <w:t xml:space="preserve">Total Bookings</w:t>
            </w:r>
          </w:p>
        </w:tc>
        <w:tc>
          <w:tcPr>
            <w:tcW w:type="dxa" w:w="1600"/>
            <w:shd w:fill="1F3864" w:color="auto" w:val="clear"/>
            <w:tcMar>
              <w:top w:type="dxa" w:w="80"/>
              <w:left w:type="dxa" w:w="100"/>
              <w:bottom w:type="dxa" w:w="80"/>
              <w:right w:type="dxa" w:w="100"/>
            </w:tcMar>
            <w:vAlign w:val="center"/>
          </w:tcPr>
          <w:p>
            <w:pPr>
              <w:jc w:val="center"/>
            </w:pPr>
            <w:r>
              <w:rPr>
                <w:b/>
                <w:bCs/>
                <w:color w:val="FFFFFF"/>
                <w:sz w:val="19"/>
                <w:szCs w:val="19"/>
              </w:rPr>
              <w:t xml:space="preserve">Spend (₹ Cr)</w:t>
            </w:r>
          </w:p>
        </w:tc>
      </w:tr>
      <w:tr>
        <w:tc>
          <w:tcPr>
            <w:tcW w:type="dxa" w:w="3826"/>
            <w:tcMar>
              <w:top w:type="dxa" w:w="80"/>
              <w:left w:type="dxa" w:w="100"/>
              <w:bottom w:type="dxa" w:w="80"/>
              <w:right w:type="dxa" w:w="100"/>
            </w:tcMar>
            <w:vAlign w:val="center"/>
          </w:tcPr>
          <w:p>
            <w:pPr>
              <w:jc w:val="left"/>
            </w:pPr>
            <w:r>
              <w:rPr>
                <w:b w:val="false"/>
                <w:bCs w:val="false"/>
                <w:color w:val="222222"/>
                <w:sz w:val="19"/>
                <w:szCs w:val="19"/>
              </w:rPr>
              <w:t xml:space="preserve">Southeast Asia</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12,385</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19,679</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73.23</w:t>
            </w:r>
          </w:p>
        </w:tc>
      </w:tr>
      <w:tr>
        <w:tc>
          <w:tcPr>
            <w:tcW w:type="dxa" w:w="3826"/>
            <w:tcMar>
              <w:top w:type="dxa" w:w="80"/>
              <w:left w:type="dxa" w:w="100"/>
              <w:bottom w:type="dxa" w:w="80"/>
              <w:right w:type="dxa" w:w="100"/>
            </w:tcMar>
            <w:vAlign w:val="center"/>
          </w:tcPr>
          <w:p>
            <w:pPr>
              <w:jc w:val="left"/>
            </w:pPr>
            <w:r>
              <w:rPr>
                <w:b w:val="false"/>
                <w:bCs w:val="false"/>
                <w:color w:val="222222"/>
                <w:sz w:val="19"/>
                <w:szCs w:val="19"/>
              </w:rPr>
              <w:t xml:space="preserve">Europe</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3,191</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5,256</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24.25</w:t>
            </w:r>
          </w:p>
        </w:tc>
      </w:tr>
      <w:tr>
        <w:tc>
          <w:tcPr>
            <w:tcW w:type="dxa" w:w="3826"/>
            <w:tcMar>
              <w:top w:type="dxa" w:w="80"/>
              <w:left w:type="dxa" w:w="100"/>
              <w:bottom w:type="dxa" w:w="80"/>
              <w:right w:type="dxa" w:w="100"/>
            </w:tcMar>
            <w:vAlign w:val="center"/>
          </w:tcPr>
          <w:p>
            <w:pPr>
              <w:jc w:val="left"/>
            </w:pPr>
            <w:r>
              <w:rPr>
                <w:b w:val="false"/>
                <w:bCs w:val="false"/>
                <w:color w:val="222222"/>
                <w:sz w:val="19"/>
                <w:szCs w:val="19"/>
              </w:rPr>
              <w:t xml:space="preserve">Middle East</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4,064</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5,982</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23.07</w:t>
            </w:r>
          </w:p>
        </w:tc>
      </w:tr>
      <w:tr>
        <w:tc>
          <w:tcPr>
            <w:tcW w:type="dxa" w:w="3826"/>
            <w:tcMar>
              <w:top w:type="dxa" w:w="80"/>
              <w:left w:type="dxa" w:w="100"/>
              <w:bottom w:type="dxa" w:w="80"/>
              <w:right w:type="dxa" w:w="100"/>
            </w:tcMar>
            <w:vAlign w:val="center"/>
          </w:tcPr>
          <w:p>
            <w:pPr>
              <w:jc w:val="left"/>
            </w:pPr>
            <w:r>
              <w:rPr>
                <w:b w:val="false"/>
                <w:bCs w:val="false"/>
                <w:color w:val="222222"/>
                <w:sz w:val="19"/>
                <w:szCs w:val="19"/>
              </w:rPr>
              <w:t xml:space="preserve">East Asia (Japan, Hong Kong, China, Korea, Taiwan)</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1,521</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2,528</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11.16</w:t>
            </w:r>
          </w:p>
        </w:tc>
      </w:tr>
      <w:tr>
        <w:tc>
          <w:tcPr>
            <w:tcW w:type="dxa" w:w="3826"/>
            <w:tcMar>
              <w:top w:type="dxa" w:w="80"/>
              <w:left w:type="dxa" w:w="100"/>
              <w:bottom w:type="dxa" w:w="80"/>
              <w:right w:type="dxa" w:w="100"/>
            </w:tcMar>
            <w:vAlign w:val="center"/>
          </w:tcPr>
          <w:p>
            <w:pPr>
              <w:jc w:val="left"/>
            </w:pPr>
            <w:r>
              <w:rPr>
                <w:b w:val="false"/>
                <w:bCs w:val="false"/>
                <w:color w:val="222222"/>
                <w:sz w:val="19"/>
                <w:szCs w:val="19"/>
              </w:rPr>
              <w:t xml:space="preserve">US / Canada / Mexico</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1,082</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1,619</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8.98</w:t>
            </w:r>
          </w:p>
        </w:tc>
      </w:tr>
      <w:tr>
        <w:tc>
          <w:tcPr>
            <w:tcW w:type="dxa" w:w="3826"/>
            <w:tcMar>
              <w:top w:type="dxa" w:w="80"/>
              <w:left w:type="dxa" w:w="100"/>
              <w:bottom w:type="dxa" w:w="80"/>
              <w:right w:type="dxa" w:w="100"/>
            </w:tcMar>
            <w:vAlign w:val="center"/>
          </w:tcPr>
          <w:p>
            <w:pPr>
              <w:jc w:val="left"/>
            </w:pPr>
            <w:r>
              <w:rPr>
                <w:b w:val="false"/>
                <w:bCs w:val="false"/>
                <w:color w:val="222222"/>
                <w:sz w:val="19"/>
                <w:szCs w:val="19"/>
              </w:rPr>
              <w:t xml:space="preserve">South Asia (Sri Lanka, Nepal, Maldives, Bangladesh)</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1,600</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2,304</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7.63</w:t>
            </w:r>
          </w:p>
        </w:tc>
      </w:tr>
      <w:tr>
        <w:tc>
          <w:tcPr>
            <w:tcW w:type="dxa" w:w="3826"/>
            <w:tcMar>
              <w:top w:type="dxa" w:w="80"/>
              <w:left w:type="dxa" w:w="100"/>
              <w:bottom w:type="dxa" w:w="80"/>
              <w:right w:type="dxa" w:w="100"/>
            </w:tcMar>
            <w:vAlign w:val="center"/>
          </w:tcPr>
          <w:p>
            <w:pPr>
              <w:jc w:val="left"/>
            </w:pPr>
            <w:r>
              <w:rPr>
                <w:b w:val="false"/>
                <w:bCs w:val="false"/>
                <w:color w:val="222222"/>
                <w:sz w:val="19"/>
                <w:szCs w:val="19"/>
              </w:rPr>
              <w:t xml:space="preserve">Other (small remaining markets, incl. Oceania)</w:t>
            </w:r>
          </w:p>
        </w:tc>
        <w:tc>
          <w:tcPr>
            <w:tcW w:type="dxa" w:w="2000"/>
            <w:tcMar>
              <w:top w:type="dxa" w:w="80"/>
              <w:left w:type="dxa" w:w="100"/>
              <w:bottom w:type="dxa" w:w="80"/>
              <w:right w:type="dxa" w:w="100"/>
            </w:tcMar>
            <w:vAlign w:val="center"/>
          </w:tcPr>
          <w:p>
            <w:pPr>
              <w:jc w:val="center"/>
            </w:pPr>
            <w:r>
              <w:rPr>
                <w:b w:val="false"/>
                <w:bCs w:val="false"/>
                <w:color w:val="222222"/>
                <w:sz w:val="19"/>
                <w:szCs w:val="19"/>
              </w:rPr>
              <w:t xml:space="preserve">1,240</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1,775</w:t>
            </w:r>
          </w:p>
        </w:tc>
        <w:tc>
          <w:tcPr>
            <w:tcW w:type="dxa" w:w="1600"/>
            <w:tcMar>
              <w:top w:type="dxa" w:w="80"/>
              <w:left w:type="dxa" w:w="100"/>
              <w:bottom w:type="dxa" w:w="80"/>
              <w:right w:type="dxa" w:w="100"/>
            </w:tcMar>
            <w:vAlign w:val="center"/>
          </w:tcPr>
          <w:p>
            <w:pPr>
              <w:jc w:val="center"/>
            </w:pPr>
            <w:r>
              <w:rPr>
                <w:b w:val="false"/>
                <w:bCs w:val="false"/>
                <w:color w:val="222222"/>
                <w:sz w:val="19"/>
                <w:szCs w:val="19"/>
              </w:rPr>
              <w:t xml:space="preserve">9.34</w:t>
            </w:r>
          </w:p>
        </w:tc>
      </w:tr>
    </w:tbl>
    <w:p>
      <w:pPr>
        <w:spacing w:after="240"/>
      </w:pPr>
      <w:r>
        <w:rPr>
          <w:b w:val="false"/>
          <w:bCs w:val="false"/>
          <w:i/>
          <w:iCs/>
          <w:color w:val="222222"/>
          <w:sz w:val="22"/>
          <w:szCs w:val="22"/>
        </w:rPr>
        <w:t xml:space="preserve">Note: traveler counts across regions add up to slightly more than the true grand total, since a small number of travelers visited more than one region in the year and are counted once in each. Turkey is grouped under Middle East, not Europe, in this breakdown.</w:t>
      </w:r>
    </w:p>
    <w:p>
      <w:pPr>
        <w:pStyle w:val="Heading2"/>
        <w:spacing w:after="120" w:before="260"/>
      </w:pPr>
      <w:r>
        <w:rPr>
          <w:b/>
          <w:bCs/>
          <w:color w:val="2E5395"/>
          <w:sz w:val="26"/>
          <w:szCs w:val="26"/>
        </w:rPr>
        <w:t xml:space="preserve">C. Recommended Phase 0 Pilot Cities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W w:type="dxa" w:w="1800"/>
            <w:shd w:fill="1F3864" w:color="auto" w:val="clear"/>
            <w:tcMar>
              <w:top w:type="dxa" w:w="80"/>
              <w:left w:type="dxa" w:w="100"/>
              <w:bottom w:type="dxa" w:w="80"/>
              <w:right w:type="dxa" w:w="100"/>
            </w:tcMar>
            <w:vAlign w:val="center"/>
          </w:tcPr>
          <w:p>
            <w:pPr>
              <w:jc w:val="left"/>
            </w:pPr>
            <w:r>
              <w:rPr>
                <w:b/>
                <w:bCs/>
                <w:color w:val="FFFFFF"/>
                <w:sz w:val="19"/>
                <w:szCs w:val="19"/>
              </w:rPr>
              <w:t xml:space="preserve">City</w:t>
            </w:r>
          </w:p>
        </w:tc>
        <w:tc>
          <w:tcPr>
            <w:tcW w:type="dxa" w:w="1800"/>
            <w:shd w:fill="1F3864" w:color="auto" w:val="clear"/>
            <w:tcMar>
              <w:top w:type="dxa" w:w="80"/>
              <w:left w:type="dxa" w:w="100"/>
              <w:bottom w:type="dxa" w:w="80"/>
              <w:right w:type="dxa" w:w="100"/>
            </w:tcMar>
            <w:vAlign w:val="center"/>
          </w:tcPr>
          <w:p>
            <w:pPr>
              <w:jc w:val="left"/>
            </w:pPr>
            <w:r>
              <w:rPr>
                <w:b/>
                <w:bCs/>
                <w:color w:val="FFFFFF"/>
                <w:sz w:val="19"/>
                <w:szCs w:val="19"/>
              </w:rPr>
              <w:t xml:space="preserve">Country</w:t>
            </w:r>
          </w:p>
        </w:tc>
        <w:tc>
          <w:tcPr>
            <w:tcW w:type="dxa" w:w="5426"/>
            <w:shd w:fill="1F3864" w:color="auto" w:val="clear"/>
            <w:tcMar>
              <w:top w:type="dxa" w:w="80"/>
              <w:left w:type="dxa" w:w="100"/>
              <w:bottom w:type="dxa" w:w="80"/>
              <w:right w:type="dxa" w:w="100"/>
            </w:tcMar>
            <w:vAlign w:val="center"/>
          </w:tcPr>
          <w:p>
            <w:pPr>
              <w:jc w:val="left"/>
            </w:pPr>
            <w:r>
              <w:rPr>
                <w:b/>
                <w:bCs/>
                <w:color w:val="FFFFFF"/>
                <w:sz w:val="19"/>
                <w:szCs w:val="19"/>
              </w:rPr>
              <w:t xml:space="preserve">Why this city</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Bangkok</w:t>
            </w:r>
          </w:p>
        </w:tc>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Thailand</w:t>
            </w:r>
          </w:p>
        </w:tc>
        <w:tc>
          <w:tcPr>
            <w:tcW w:type="dxa" w:w="5426"/>
            <w:tcMar>
              <w:top w:type="dxa" w:w="80"/>
              <w:left w:type="dxa" w:w="100"/>
              <w:bottom w:type="dxa" w:w="80"/>
              <w:right w:type="dxa" w:w="100"/>
            </w:tcMar>
            <w:vAlign w:val="center"/>
          </w:tcPr>
          <w:p>
            <w:pPr>
              <w:jc w:val="left"/>
            </w:pPr>
            <w:r>
              <w:rPr>
                <w:b w:val="false"/>
                <w:bCs w:val="false"/>
                <w:color w:val="222222"/>
                <w:sz w:val="19"/>
                <w:szCs w:val="19"/>
              </w:rPr>
              <w:t xml:space="preserve">Highest single-city traveler count of any destination — the clearest starting point.</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Phuket</w:t>
            </w:r>
          </w:p>
        </w:tc>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Thailand</w:t>
            </w:r>
          </w:p>
        </w:tc>
        <w:tc>
          <w:tcPr>
            <w:tcW w:type="dxa" w:w="5426"/>
            <w:tcMar>
              <w:top w:type="dxa" w:w="80"/>
              <w:left w:type="dxa" w:w="100"/>
              <w:bottom w:type="dxa" w:w="80"/>
              <w:right w:type="dxa" w:w="100"/>
            </w:tcMar>
            <w:vAlign w:val="center"/>
          </w:tcPr>
          <w:p>
            <w:pPr>
              <w:jc w:val="left"/>
            </w:pPr>
            <w:r>
              <w:rPr>
                <w:b w:val="false"/>
                <w:bCs w:val="false"/>
                <w:color w:val="222222"/>
                <w:sz w:val="19"/>
                <w:szCs w:val="19"/>
              </w:rPr>
              <w:t xml:space="preserve">Second-highest traveler count; lets Phase 0 cover two major cities within one country.</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Dubai</w:t>
            </w:r>
          </w:p>
        </w:tc>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UAE</w:t>
            </w:r>
          </w:p>
        </w:tc>
        <w:tc>
          <w:tcPr>
            <w:tcW w:type="dxa" w:w="5426"/>
            <w:tcMar>
              <w:top w:type="dxa" w:w="80"/>
              <w:left w:type="dxa" w:w="100"/>
              <w:bottom w:type="dxa" w:w="80"/>
              <w:right w:type="dxa" w:w="100"/>
            </w:tcMar>
            <w:vAlign w:val="center"/>
          </w:tcPr>
          <w:p>
            <w:pPr>
              <w:jc w:val="left"/>
            </w:pPr>
            <w:r>
              <w:rPr>
                <w:b w:val="false"/>
                <w:bCs w:val="false"/>
                <w:color w:val="222222"/>
                <w:sz w:val="19"/>
                <w:szCs w:val="19"/>
              </w:rPr>
              <w:t xml:space="preserve">Top Middle East destination and a common travel gateway/stopover city.</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Hanoi</w:t>
            </w:r>
          </w:p>
        </w:tc>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Vietnam</w:t>
            </w:r>
          </w:p>
        </w:tc>
        <w:tc>
          <w:tcPr>
            <w:tcW w:type="dxa" w:w="5426"/>
            <w:tcMar>
              <w:top w:type="dxa" w:w="80"/>
              <w:left w:type="dxa" w:w="100"/>
              <w:bottom w:type="dxa" w:w="80"/>
              <w:right w:type="dxa" w:w="100"/>
            </w:tcMar>
            <w:vAlign w:val="center"/>
          </w:tcPr>
          <w:p>
            <w:pPr>
              <w:jc w:val="left"/>
            </w:pPr>
            <w:r>
              <w:rPr>
                <w:b w:val="false"/>
                <w:bCs w:val="false"/>
                <w:color w:val="222222"/>
                <w:sz w:val="19"/>
                <w:szCs w:val="19"/>
              </w:rPr>
              <w:t xml:space="preserve">Leading city in Scapia's fastest-growing Southeast Asia market.</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Singapore</w:t>
            </w:r>
          </w:p>
        </w:tc>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Singapore</w:t>
            </w:r>
          </w:p>
        </w:tc>
        <w:tc>
          <w:tcPr>
            <w:tcW w:type="dxa" w:w="5426"/>
            <w:tcMar>
              <w:top w:type="dxa" w:w="80"/>
              <w:left w:type="dxa" w:w="100"/>
              <w:bottom w:type="dxa" w:w="80"/>
              <w:right w:type="dxa" w:w="100"/>
            </w:tcMar>
            <w:vAlign w:val="center"/>
          </w:tcPr>
          <w:p>
            <w:pPr>
              <w:jc w:val="left"/>
            </w:pPr>
            <w:r>
              <w:rPr>
                <w:b w:val="false"/>
                <w:bCs w:val="false"/>
                <w:color w:val="222222"/>
                <w:sz w:val="19"/>
                <w:szCs w:val="19"/>
              </w:rPr>
              <w:t xml:space="preserve">Lower flight volume but very high combined spend once hotel stays and Experiences are included — an already-engaged traveler base.</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Abu Dhabi</w:t>
            </w:r>
          </w:p>
        </w:tc>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UAE</w:t>
            </w:r>
          </w:p>
        </w:tc>
        <w:tc>
          <w:tcPr>
            <w:tcW w:type="dxa" w:w="5426"/>
            <w:tcMar>
              <w:top w:type="dxa" w:w="80"/>
              <w:left w:type="dxa" w:w="100"/>
              <w:bottom w:type="dxa" w:w="80"/>
              <w:right w:type="dxa" w:w="100"/>
            </w:tcMar>
            <w:vAlign w:val="center"/>
          </w:tcPr>
          <w:p>
            <w:pPr>
              <w:jc w:val="left"/>
            </w:pPr>
            <w:r>
              <w:rPr>
                <w:b w:val="false"/>
                <w:bCs w:val="false"/>
                <w:color w:val="222222"/>
                <w:sz w:val="19"/>
                <w:szCs w:val="19"/>
              </w:rPr>
              <w:t xml:space="preserve">Second major UAE city; extends Middle East coverage without adding a new country.</w:t>
            </w:r>
          </w:p>
        </w:tc>
      </w:tr>
      <w:tr>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Kuala Lumpur</w:t>
            </w:r>
          </w:p>
        </w:tc>
        <w:tc>
          <w:tcPr>
            <w:tcW w:type="dxa" w:w="1800"/>
            <w:tcMar>
              <w:top w:type="dxa" w:w="80"/>
              <w:left w:type="dxa" w:w="100"/>
              <w:bottom w:type="dxa" w:w="80"/>
              <w:right w:type="dxa" w:w="100"/>
            </w:tcMar>
            <w:vAlign w:val="center"/>
          </w:tcPr>
          <w:p>
            <w:pPr>
              <w:jc w:val="left"/>
            </w:pPr>
            <w:r>
              <w:rPr>
                <w:b w:val="false"/>
                <w:bCs w:val="false"/>
                <w:color w:val="222222"/>
                <w:sz w:val="19"/>
                <w:szCs w:val="19"/>
              </w:rPr>
              <w:t xml:space="preserve">Malaysia</w:t>
            </w:r>
          </w:p>
        </w:tc>
        <w:tc>
          <w:tcPr>
            <w:tcW w:type="dxa" w:w="5426"/>
            <w:tcMar>
              <w:top w:type="dxa" w:w="80"/>
              <w:left w:type="dxa" w:w="100"/>
              <w:bottom w:type="dxa" w:w="80"/>
              <w:right w:type="dxa" w:w="100"/>
            </w:tcMar>
            <w:vAlign w:val="center"/>
          </w:tcPr>
          <w:p>
            <w:pPr>
              <w:jc w:val="left"/>
            </w:pPr>
            <w:r>
              <w:rPr>
                <w:b w:val="false"/>
                <w:bCs w:val="false"/>
                <w:color w:val="222222"/>
                <w:sz w:val="19"/>
                <w:szCs w:val="19"/>
              </w:rPr>
              <w:t xml:space="preserve">Fourth-highest single-city traveler count, and a straightforward Southeast Asia addition.</w:t>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2026-08-21T05:08:44.366Z</dcterms:created>
  <dcterms:modified xsi:type="dcterms:W3CDTF">2026-08-21T05:08:44.540Z</dcterms:modified>
</cp:coreProperties>
</file>

<file path=docProps/custom.xml><?xml version="1.0" encoding="utf-8"?>
<Properties xmlns="http://schemas.openxmlformats.org/officeDocument/2006/custom-properties" xmlns:vt="http://schemas.openxmlformats.org/officeDocument/2006/docPropsVTypes"/>
</file>