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ind w:left="1152" w:hanging="432"/>
        <w:rPr>
          <w:rFonts w:ascii="Calibri" w:cs="Calibri" w:eastAsia="Calibri" w:hAnsi="Calibri"/>
        </w:rPr>
      </w:pPr>
      <w:bookmarkStart w:colFirst="0" w:colLast="0" w:name="_heading=h.1fob9te" w:id="0"/>
      <w:bookmarkEnd w:id="0"/>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02">
      <w:pPr>
        <w:pStyle w:val="Heading2"/>
        <w:numPr>
          <w:ilvl w:val="1"/>
          <w:numId w:val="2"/>
        </w:numPr>
        <w:ind w:left="1296" w:hanging="576"/>
        <w:rPr>
          <w:rFonts w:ascii="Calibri" w:cs="Calibri" w:eastAsia="Calibri" w:hAnsi="Calibri"/>
        </w:rPr>
      </w:pPr>
      <w:bookmarkStart w:colFirst="0" w:colLast="0" w:name="_heading=h.3znysh7" w:id="1"/>
      <w:bookmarkEnd w:id="1"/>
      <w:r w:rsidDel="00000000" w:rsidR="00000000" w:rsidRPr="00000000">
        <w:rPr>
          <w:rtl w:val="0"/>
        </w:rPr>
        <w:t xml:space="preserve">The Test Plan Document</w:t>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This test plan describes a non-comprehensive testing plan for the Seaga Infinity INF5S Snack Vending Machine (‘Machine’.) The machine is an all-in-one vending machine where all the units necessary for vending are integrated. </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As the source is not available and the internal electromagnetic components difficult to access, this testing plan will validate the machine from a grey box perspective. Therefore, the test plan places emphasis on functional testing of the machine. Because normal operation of the machine entails continuous integration of new output products, regression testing is strongly recommended to ensure continuity of service. As this product is intended for public facing operation; security, accessibility and internationalization testing are all appropriate secondary concerns.  Additional specific compliance testing may be required to comply with various health and safety or accessibility laws in any particular market.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Tests cases in this plan will be written in Gherkin, a declarative syntax for writing test cases in the Cucumber testing environment. In Gherkin, tests are written in a declarative fashion that omits the implementation of a unit in favor of describing the behavior of a system. Because the test analyst is assumed to understand the operation of the machine, omitting the implementation details allows test cases to be written with clarity. Further, test cases should describe the minimal viable situation such that cases are modular and useful for troubleshooting errors. </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Test cases are written in declarative syntax are unambiguous and easy to execute in an objective fashion. Looking forward, this syntax allows us to bridge the gap between natural language based manual testing and automated testing paradigms. </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Syntax for Gherkin can be found here: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https://cucumber.io/docs/gherkin/reference/</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1"/>
        <w:numPr>
          <w:ilvl w:val="0"/>
          <w:numId w:val="2"/>
        </w:numPr>
        <w:ind w:left="1152" w:hanging="432"/>
        <w:rPr>
          <w:rFonts w:ascii="Calibri" w:cs="Calibri" w:eastAsia="Calibri" w:hAnsi="Calibri"/>
        </w:rPr>
      </w:pPr>
      <w:bookmarkStart w:colFirst="0" w:colLast="0" w:name="_heading=h.qsh70q" w:id="2"/>
      <w:bookmarkEnd w:id="2"/>
      <w:r w:rsidDel="00000000" w:rsidR="00000000" w:rsidRPr="00000000">
        <w:rPr>
          <w:rFonts w:ascii="Calibri" w:cs="Calibri" w:eastAsia="Calibri" w:hAnsi="Calibri"/>
          <w:rtl w:val="0"/>
        </w:rPr>
        <w:t xml:space="preserve">Functional Testing</w:t>
      </w:r>
    </w:p>
    <w:p w:rsidR="00000000" w:rsidDel="00000000" w:rsidP="00000000" w:rsidRDefault="00000000" w:rsidRPr="00000000" w14:paraId="00000010">
      <w:pPr>
        <w:pStyle w:val="Heading2"/>
        <w:rPr/>
      </w:pPr>
      <w:bookmarkStart w:colFirst="0" w:colLast="0" w:name="_heading=h.32hioqz" w:id="3"/>
      <w:bookmarkEnd w:id="3"/>
      <w:r w:rsidDel="00000000" w:rsidR="00000000" w:rsidRPr="00000000">
        <w:rPr>
          <w:rtl w:val="0"/>
        </w:rPr>
        <w:t xml:space="preserve">2.1</w:t>
        <w:tab/>
        <w:t xml:space="preserve">Test Equipment</w:t>
      </w:r>
    </w:p>
    <w:p w:rsidR="00000000" w:rsidDel="00000000" w:rsidP="00000000" w:rsidRDefault="00000000" w:rsidRPr="00000000" w14:paraId="00000011">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Currency and Near-Currency</w:t>
      </w:r>
    </w:p>
    <w:p w:rsidR="00000000" w:rsidDel="00000000" w:rsidP="00000000" w:rsidRDefault="00000000" w:rsidRPr="00000000" w14:paraId="00000012">
      <w:pPr>
        <w:numPr>
          <w:ilvl w:val="1"/>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USD Banknotes: comprising 1, 2, 5, 10, 20, 50, 100 values. (‘Bills’)</w:t>
      </w:r>
    </w:p>
    <w:p w:rsidR="00000000" w:rsidDel="00000000" w:rsidP="00000000" w:rsidRDefault="00000000" w:rsidRPr="00000000" w14:paraId="00000013">
      <w:pPr>
        <w:numPr>
          <w:ilvl w:val="1"/>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USD Coins: comprising .05, .10, .25, .50 and 1 values. (‘Coins’)</w:t>
      </w:r>
    </w:p>
    <w:p w:rsidR="00000000" w:rsidDel="00000000" w:rsidP="00000000" w:rsidRDefault="00000000" w:rsidRPr="00000000" w14:paraId="00000014">
      <w:pPr>
        <w:numPr>
          <w:ilvl w:val="1"/>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Defaced / Counterfeit USD Banknotes: comprising an array of defaced, counterfeit, or otherwise illegal tender. (‘Defaced Bills’)</w:t>
      </w:r>
    </w:p>
    <w:p w:rsidR="00000000" w:rsidDel="00000000" w:rsidP="00000000" w:rsidRDefault="00000000" w:rsidRPr="00000000" w14:paraId="00000015">
      <w:pPr>
        <w:numPr>
          <w:ilvl w:val="1"/>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Defaced / Counterfeit USD Coins: comprising an array of defaced, counterfeit, or otherwise illegal tender. (‘Defaced Coins’)</w:t>
      </w:r>
    </w:p>
    <w:p w:rsidR="00000000" w:rsidDel="00000000" w:rsidP="00000000" w:rsidRDefault="00000000" w:rsidRPr="00000000" w14:paraId="00000016">
      <w:pPr>
        <w:numPr>
          <w:ilvl w:val="1"/>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Foreign Banknotes: an array of foreign banknotes in various denominations. (‘Foreign Bills’)</w:t>
      </w:r>
    </w:p>
    <w:p w:rsidR="00000000" w:rsidDel="00000000" w:rsidP="00000000" w:rsidRDefault="00000000" w:rsidRPr="00000000" w14:paraId="00000017">
      <w:pPr>
        <w:numPr>
          <w:ilvl w:val="1"/>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Foreign Coins: an array of foreign coins in various denominations. (‘Foreign Coins)</w:t>
      </w:r>
    </w:p>
    <w:p w:rsidR="00000000" w:rsidDel="00000000" w:rsidP="00000000" w:rsidRDefault="00000000" w:rsidRPr="00000000" w14:paraId="00000018">
      <w:pPr>
        <w:numPr>
          <w:ilvl w:val="1"/>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Valid Cards: an array of legal magstripe style electronic payment cards that use debit and credit payment protocols. (‘Valid Cards’)</w:t>
      </w:r>
    </w:p>
    <w:p w:rsidR="00000000" w:rsidDel="00000000" w:rsidP="00000000" w:rsidRDefault="00000000" w:rsidRPr="00000000" w14:paraId="00000019">
      <w:pPr>
        <w:numPr>
          <w:ilvl w:val="1"/>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Invalid Cards: an array of invalid magstripe and “chip’n’pin” style electronic payment cards that use debit and credit payment protocols. (‘Invalid Cards’)</w:t>
      </w:r>
    </w:p>
    <w:p w:rsidR="00000000" w:rsidDel="00000000" w:rsidP="00000000" w:rsidRDefault="00000000" w:rsidRPr="00000000" w14:paraId="0000001A">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Dispensable Items</w:t>
      </w:r>
    </w:p>
    <w:p w:rsidR="00000000" w:rsidDel="00000000" w:rsidP="00000000" w:rsidRDefault="00000000" w:rsidRPr="00000000" w14:paraId="0000001B">
      <w:pPr>
        <w:numPr>
          <w:ilvl w:val="1"/>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Chip Package: N number of chip packages to equal the aisle depth plus one. (‘Chips’)</w:t>
      </w:r>
    </w:p>
    <w:p w:rsidR="00000000" w:rsidDel="00000000" w:rsidP="00000000" w:rsidRDefault="00000000" w:rsidRPr="00000000" w14:paraId="0000001C">
      <w:pPr>
        <w:numPr>
          <w:ilvl w:val="1"/>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Candy Package: N number of canady packages to equal the aisle depth plus one. (‘Candy’)</w:t>
      </w:r>
    </w:p>
    <w:p w:rsidR="00000000" w:rsidDel="00000000" w:rsidP="00000000" w:rsidRDefault="00000000" w:rsidRPr="00000000" w14:paraId="0000001D">
      <w:pPr>
        <w:numPr>
          <w:ilvl w:val="1"/>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Pastry Package: N number of pastry packages to equal the aisle depth plus one. (‘Pastry’)</w:t>
      </w:r>
    </w:p>
    <w:p w:rsidR="00000000" w:rsidDel="00000000" w:rsidP="00000000" w:rsidRDefault="00000000" w:rsidRPr="00000000" w14:paraId="0000001E">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Hardware</w:t>
      </w:r>
    </w:p>
    <w:p w:rsidR="00000000" w:rsidDel="00000000" w:rsidP="00000000" w:rsidRDefault="00000000" w:rsidRPr="00000000" w14:paraId="0000001F">
      <w:pPr>
        <w:numPr>
          <w:ilvl w:val="1"/>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DEX capable, MDB reader.</w:t>
      </w:r>
    </w:p>
    <w:p w:rsidR="00000000" w:rsidDel="00000000" w:rsidP="00000000" w:rsidRDefault="00000000" w:rsidRPr="00000000" w14:paraId="00000020">
      <w:pPr>
        <w:numPr>
          <w:ilvl w:val="1"/>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Keys: Necessary keys to access the lockbox, vend shelves, etc.</w:t>
      </w:r>
    </w:p>
    <w:p w:rsidR="00000000" w:rsidDel="00000000" w:rsidP="00000000" w:rsidRDefault="00000000" w:rsidRPr="00000000" w14:paraId="00000021">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2"/>
        <w:ind w:firstLine="720"/>
        <w:rPr>
          <w:vertAlign w:val="baseline"/>
        </w:rPr>
      </w:pPr>
      <w:bookmarkStart w:colFirst="0" w:colLast="0" w:name="_heading=h.5aofgp4v642z" w:id="4"/>
      <w:bookmarkEnd w:id="4"/>
      <w:r w:rsidDel="00000000" w:rsidR="00000000" w:rsidRPr="00000000">
        <w:rPr>
          <w:rtl w:val="0"/>
        </w:rPr>
        <w:t xml:space="preserve">2.2 </w:t>
        <w:tab/>
        <w:t xml:space="preserve">Module Test State</w:t>
      </w:r>
      <w:r w:rsidDel="00000000" w:rsidR="00000000" w:rsidRPr="00000000">
        <w:rPr>
          <w:rtl w:val="0"/>
        </w:rPr>
      </w:r>
    </w:p>
    <w:tbl>
      <w:tblPr>
        <w:tblStyle w:val="Table1"/>
        <w:tblW w:w="948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1215"/>
        <w:gridCol w:w="5925"/>
        <w:tblGridChange w:id="0">
          <w:tblGrid>
            <w:gridCol w:w="2340"/>
            <w:gridCol w:w="1215"/>
            <w:gridCol w:w="5925"/>
          </w:tblGrid>
        </w:tblGridChange>
      </w:tblGrid>
      <w:tr>
        <w:tc>
          <w:tcPr>
            <w:shd w:fill="d9d9d9" w:val="clear"/>
          </w:tcPr>
          <w:p w:rsidR="00000000" w:rsidDel="00000000" w:rsidP="00000000" w:rsidRDefault="00000000" w:rsidRPr="00000000" w14:paraId="00000023">
            <w:pPr>
              <w:ind w:lef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Module</w:t>
            </w:r>
            <w:r w:rsidDel="00000000" w:rsidR="00000000" w:rsidRPr="00000000">
              <w:rPr>
                <w:rFonts w:ascii="Calibri" w:cs="Calibri" w:eastAsia="Calibri" w:hAnsi="Calibri"/>
                <w:b w:val="1"/>
                <w:sz w:val="20"/>
                <w:szCs w:val="20"/>
                <w:rtl w:val="0"/>
              </w:rPr>
              <w:t xml:space="preserve"> to Test</w:t>
            </w:r>
          </w:p>
        </w:tc>
        <w:tc>
          <w:tcPr>
            <w:shd w:fill="d9d9d9" w:val="clear"/>
          </w:tcPr>
          <w:p w:rsidR="00000000" w:rsidDel="00000000" w:rsidP="00000000" w:rsidRDefault="00000000" w:rsidRPr="00000000" w14:paraId="00000024">
            <w:pPr>
              <w:ind w:lef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Tested</w:t>
            </w:r>
          </w:p>
        </w:tc>
        <w:tc>
          <w:tcPr>
            <w:shd w:fill="d9d9d9" w:val="clear"/>
          </w:tcPr>
          <w:p w:rsidR="00000000" w:rsidDel="00000000" w:rsidP="00000000" w:rsidRDefault="00000000" w:rsidRPr="00000000" w14:paraId="00000025">
            <w:pPr>
              <w:ind w:lef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Test Description</w:t>
            </w:r>
          </w:p>
        </w:tc>
      </w:tr>
      <w:tr>
        <w:tc>
          <w:tcPr/>
          <w:p w:rsidR="00000000" w:rsidDel="00000000" w:rsidP="00000000" w:rsidRDefault="00000000" w:rsidRPr="00000000" w14:paraId="00000026">
            <w:pPr>
              <w:spacing w:after="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Payment Module</w:t>
            </w:r>
          </w:p>
        </w:tc>
        <w:tc>
          <w:tcPr/>
          <w:p w:rsidR="00000000" w:rsidDel="00000000" w:rsidP="00000000" w:rsidRDefault="00000000" w:rsidRPr="00000000" w14:paraId="00000027">
            <w:pPr>
              <w:spacing w:after="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Yes</w:t>
            </w:r>
          </w:p>
        </w:tc>
        <w:tc>
          <w:tcPr/>
          <w:p w:rsidR="00000000" w:rsidDel="00000000" w:rsidP="00000000" w:rsidRDefault="00000000" w:rsidRPr="00000000" w14:paraId="00000028">
            <w:pPr>
              <w:spacing w:after="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Ensure the payment module handles transactions in a robust way. </w:t>
            </w:r>
          </w:p>
        </w:tc>
      </w:tr>
      <w:tr>
        <w:tc>
          <w:tcPr/>
          <w:p w:rsidR="00000000" w:rsidDel="00000000" w:rsidP="00000000" w:rsidRDefault="00000000" w:rsidRPr="00000000" w14:paraId="00000029">
            <w:pPr>
              <w:spacing w:after="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Dispenser Module</w:t>
            </w:r>
          </w:p>
        </w:tc>
        <w:tc>
          <w:tcPr/>
          <w:p w:rsidR="00000000" w:rsidDel="00000000" w:rsidP="00000000" w:rsidRDefault="00000000" w:rsidRPr="00000000" w14:paraId="0000002A">
            <w:pPr>
              <w:spacing w:after="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Yes</w:t>
            </w:r>
          </w:p>
        </w:tc>
        <w:tc>
          <w:tcPr/>
          <w:p w:rsidR="00000000" w:rsidDel="00000000" w:rsidP="00000000" w:rsidRDefault="00000000" w:rsidRPr="00000000" w14:paraId="0000002B">
            <w:pPr>
              <w:spacing w:after="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Ensure that the dispensing system is robust in dispensing appropriately and handles common error fringe cases.</w:t>
            </w:r>
          </w:p>
        </w:tc>
      </w:tr>
      <w:tr>
        <w:trPr>
          <w:trHeight w:val="732.421875" w:hRule="atLeast"/>
        </w:trPr>
        <w:tc>
          <w:tcPr/>
          <w:p w:rsidR="00000000" w:rsidDel="00000000" w:rsidP="00000000" w:rsidRDefault="00000000" w:rsidRPr="00000000" w14:paraId="0000002C">
            <w:pPr>
              <w:spacing w:after="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Admin Interface Panel </w:t>
            </w:r>
          </w:p>
        </w:tc>
        <w:tc>
          <w:tcPr/>
          <w:p w:rsidR="00000000" w:rsidDel="00000000" w:rsidP="00000000" w:rsidRDefault="00000000" w:rsidRPr="00000000" w14:paraId="0000002D">
            <w:pPr>
              <w:spacing w:after="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Partial</w:t>
            </w:r>
          </w:p>
        </w:tc>
        <w:tc>
          <w:tcPr/>
          <w:p w:rsidR="00000000" w:rsidDel="00000000" w:rsidP="00000000" w:rsidRDefault="00000000" w:rsidRPr="00000000" w14:paraId="0000002E">
            <w:pPr>
              <w:spacing w:after="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Ensures that the unit boots correctly, ensures that internal software can be accessed through the management port and ensures the software reports correctly.</w:t>
            </w:r>
          </w:p>
        </w:tc>
      </w:tr>
      <w:tr>
        <w:tc>
          <w:tcPr/>
          <w:p w:rsidR="00000000" w:rsidDel="00000000" w:rsidP="00000000" w:rsidRDefault="00000000" w:rsidRPr="00000000" w14:paraId="0000002F">
            <w:pPr>
              <w:spacing w:after="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Internal ElectroMechanical Equipment </w:t>
            </w:r>
          </w:p>
        </w:tc>
        <w:tc>
          <w:tcPr/>
          <w:p w:rsidR="00000000" w:rsidDel="00000000" w:rsidP="00000000" w:rsidRDefault="00000000" w:rsidRPr="00000000" w14:paraId="00000030">
            <w:pPr>
              <w:spacing w:after="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   Partial</w:t>
            </w:r>
          </w:p>
        </w:tc>
        <w:tc>
          <w:tcPr/>
          <w:p w:rsidR="00000000" w:rsidDel="00000000" w:rsidP="00000000" w:rsidRDefault="00000000" w:rsidRPr="00000000" w14:paraId="00000031">
            <w:pPr>
              <w:spacing w:after="0" w:before="0" w:lineRule="auto"/>
              <w:ind w:left="0" w:firstLine="0"/>
              <w:rPr>
                <w:rFonts w:ascii="Calibri" w:cs="Calibri" w:eastAsia="Calibri" w:hAnsi="Calibri"/>
              </w:rPr>
            </w:pPr>
            <w:r w:rsidDel="00000000" w:rsidR="00000000" w:rsidRPr="00000000">
              <w:rPr>
                <w:rFonts w:ascii="Calibri" w:cs="Calibri" w:eastAsia="Calibri" w:hAnsi="Calibri"/>
                <w:rtl w:val="0"/>
              </w:rPr>
              <w:t xml:space="preserve">Internal electromechanical equipment- motors, servos, power transformers, etc will not be tested. For the purpose of this test plan, assume all such components are in proper working order as designed. Internal components which are safe to operate and accessible to end users will be tested. </w:t>
            </w:r>
          </w:p>
        </w:tc>
      </w:tr>
    </w:tbl>
    <w:p w:rsidR="00000000" w:rsidDel="00000000" w:rsidP="00000000" w:rsidRDefault="00000000" w:rsidRPr="00000000" w14:paraId="00000032">
      <w:pPr>
        <w:pStyle w:val="Heading2"/>
        <w:ind w:left="0" w:firstLine="720"/>
        <w:rPr/>
      </w:pPr>
      <w:bookmarkStart w:colFirst="0" w:colLast="0" w:name="_heading=h.18ml57vdb6bx" w:id="5"/>
      <w:bookmarkEnd w:id="5"/>
      <w:r w:rsidDel="00000000" w:rsidR="00000000" w:rsidRPr="00000000">
        <w:rPr>
          <w:rtl w:val="0"/>
        </w:rPr>
        <w:t xml:space="preserve">2.3 Test Entry / Exit Criteria</w:t>
      </w:r>
    </w:p>
    <w:p w:rsidR="00000000" w:rsidDel="00000000" w:rsidP="00000000" w:rsidRDefault="00000000" w:rsidRPr="00000000" w14:paraId="00000033">
      <w:pPr>
        <w:widowControl w:val="0"/>
        <w:spacing w:after="120" w:before="0" w:lineRule="auto"/>
        <w:rPr>
          <w:rFonts w:ascii="Calibri" w:cs="Calibri" w:eastAsia="Calibri" w:hAnsi="Calibri"/>
        </w:rPr>
      </w:pPr>
      <w:r w:rsidDel="00000000" w:rsidR="00000000" w:rsidRPr="00000000">
        <w:rPr>
          <w:rtl w:val="0"/>
        </w:rPr>
      </w:r>
    </w:p>
    <w:tbl>
      <w:tblPr>
        <w:tblStyle w:val="Table2"/>
        <w:tblW w:w="8784.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
        <w:gridCol w:w="4392"/>
        <w:tblGridChange w:id="0">
          <w:tblGrid>
            <w:gridCol w:w="4392"/>
            <w:gridCol w:w="43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Exit Condition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Any particular unit shall enter testing prior to service. Either after manufacturing, or after a resumption of service after a significant interruption in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Rule="auto"/>
              <w:ind w:left="0" w:firstLine="0"/>
              <w:jc w:val="left"/>
              <w:rPr>
                <w:rFonts w:ascii="Calibri" w:cs="Calibri" w:eastAsia="Calibri" w:hAnsi="Calibri"/>
              </w:rPr>
            </w:pPr>
            <w:r w:rsidDel="00000000" w:rsidR="00000000" w:rsidRPr="00000000">
              <w:rPr>
                <w:rFonts w:ascii="Calibri" w:cs="Calibri" w:eastAsia="Calibri" w:hAnsi="Calibri"/>
                <w:rtl w:val="0"/>
              </w:rPr>
              <w:t xml:space="preserve">The unit shall leave the testing phase when no critical defects have been found. Or when all critical defects have been resolved.</w:t>
            </w:r>
          </w:p>
        </w:tc>
      </w:tr>
    </w:tbl>
    <w:p w:rsidR="00000000" w:rsidDel="00000000" w:rsidP="00000000" w:rsidRDefault="00000000" w:rsidRPr="00000000" w14:paraId="00000038">
      <w:pPr>
        <w:widowControl w:val="0"/>
        <w:spacing w:after="12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2"/>
        <w:ind w:left="0" w:firstLine="720"/>
        <w:rPr/>
      </w:pPr>
      <w:bookmarkStart w:colFirst="0" w:colLast="0" w:name="_heading=h.s8my9hi5zvp8" w:id="6"/>
      <w:bookmarkEnd w:id="6"/>
      <w:r w:rsidDel="00000000" w:rsidR="00000000" w:rsidRPr="00000000">
        <w:rPr>
          <w:rtl w:val="0"/>
        </w:rPr>
        <w:t xml:space="preserve">2.4</w:t>
        <w:tab/>
        <w:t xml:space="preserve">Test Approach(s)</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The overall approach of the test is the use of gray box testing. Tst analysts have some access to the internal state of the machine. However that access is neither complete nor entirely safe to testers. This is a constraint on the testing plan. If this testing paradigm is deemed insufficient to suit the quality needs of the product, new methodologies will be required. </w:t>
      </w:r>
      <w:r w:rsidDel="00000000" w:rsidR="00000000" w:rsidRPr="00000000">
        <w:rPr>
          <w:rtl w:val="0"/>
        </w:rPr>
      </w:r>
    </w:p>
    <w:p w:rsidR="00000000" w:rsidDel="00000000" w:rsidP="00000000" w:rsidRDefault="00000000" w:rsidRPr="00000000" w14:paraId="0000003B">
      <w:pPr>
        <w:pStyle w:val="Heading2"/>
        <w:ind w:left="0" w:firstLine="720"/>
        <w:rPr>
          <w:b w:val="0"/>
          <w:i w:val="1"/>
          <w:smallCaps w:val="0"/>
          <w:strike w:val="0"/>
          <w:color w:val="c00000"/>
          <w:sz w:val="24"/>
          <w:szCs w:val="24"/>
          <w:u w:val="none"/>
          <w:shd w:fill="auto" w:val="clear"/>
          <w:vertAlign w:val="baseline"/>
        </w:rPr>
      </w:pPr>
      <w:bookmarkStart w:colFirst="0" w:colLast="0" w:name="_heading=h.23ckvvd" w:id="7"/>
      <w:bookmarkEnd w:id="7"/>
      <w:r w:rsidDel="00000000" w:rsidR="00000000" w:rsidRPr="00000000">
        <w:rPr>
          <w:rtl w:val="0"/>
        </w:rPr>
        <w:t xml:space="preserve">2.5</w:t>
        <w:tab/>
      </w:r>
      <w:r w:rsidDel="00000000" w:rsidR="00000000" w:rsidRPr="00000000">
        <w:rPr>
          <w:rtl w:val="0"/>
        </w:rPr>
        <w:t xml:space="preserve">Test Deliverables</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576" w:right="0" w:firstLine="0"/>
        <w:jc w:val="both"/>
        <w:rPr>
          <w:rFonts w:ascii="Calibri" w:cs="Calibri" w:eastAsia="Calibri" w:hAnsi="Calibri"/>
          <w:i w:val="1"/>
          <w:smallCaps w:val="0"/>
          <w:strike w:val="0"/>
          <w:color w:val="c00000"/>
          <w:sz w:val="24"/>
          <w:szCs w:val="24"/>
          <w:u w:val="none"/>
          <w:shd w:fill="auto" w:val="clear"/>
          <w:vertAlign w:val="baseline"/>
        </w:rPr>
      </w:pPr>
      <w:r w:rsidDel="00000000" w:rsidR="00000000" w:rsidRPr="00000000">
        <w:rPr>
          <w:rFonts w:ascii="Calibri" w:cs="Calibri" w:eastAsia="Calibri" w:hAnsi="Calibri"/>
          <w:rtl w:val="0"/>
        </w:rPr>
        <w:t xml:space="preserve">The test plan subscribes to the document-in-place philosophy. Therefore, the test analyst will be able to return a marked version of the test cases spreadsheet documenting their tests and any defects found.  </w:t>
      </w:r>
      <w:r w:rsidDel="00000000" w:rsidR="00000000" w:rsidRPr="00000000">
        <w:rPr>
          <w:rtl w:val="0"/>
        </w:rPr>
      </w:r>
    </w:p>
    <w:p w:rsidR="00000000" w:rsidDel="00000000" w:rsidP="00000000" w:rsidRDefault="00000000" w:rsidRPr="00000000" w14:paraId="0000003D">
      <w:pPr>
        <w:pStyle w:val="Heading1"/>
        <w:ind w:left="0" w:firstLine="0"/>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8h4qwu" w:id="8"/>
      <w:bookmarkEnd w:id="8"/>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iylrwe" w:id="9"/>
      <w:bookmarkEnd w:id="9"/>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648" w:top="979"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center"/>
      <w:rPr>
        <w:rFonts w:ascii="Arial" w:cs="Arial" w:eastAsia="Arial" w:hAnsi="Arial"/>
        <w:b w:val="0"/>
        <w:i w:val="0"/>
        <w:smallCaps w:val="0"/>
        <w:strike w:val="0"/>
        <w:color w:val="c00000"/>
        <w:sz w:val="18"/>
        <w:szCs w:val="18"/>
        <w:u w:val="none"/>
        <w:shd w:fill="auto" w:val="clear"/>
        <w:vertAlign w:val="baseline"/>
      </w:rPr>
    </w:pPr>
    <w:r w:rsidDel="00000000" w:rsidR="00000000" w:rsidRPr="00000000">
      <w:rPr>
        <w:rFonts w:ascii="Arial" w:cs="Arial" w:eastAsia="Arial" w:hAnsi="Arial"/>
        <w:b w:val="0"/>
        <w:i w:val="1"/>
        <w:smallCaps w:val="0"/>
        <w:strike w:val="0"/>
        <w:color w:val="c00000"/>
        <w:sz w:val="18"/>
        <w:szCs w:val="18"/>
        <w:u w:val="none"/>
        <w:shd w:fill="auto" w:val="clear"/>
        <w:vertAlign w:val="baseline"/>
        <w:rtl w:val="0"/>
      </w:rPr>
      <w:t xml:space="preserve">[Insert appropriate Disclaimer(s)]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both"/>
      <w:rPr>
        <w:rFonts w:ascii="Arial" w:cs="Arial" w:eastAsia="Arial" w:hAnsi="Arial"/>
        <w:b w:val="0"/>
        <w:i w:val="0"/>
        <w:smallCaps w:val="0"/>
        <w:strike w:val="0"/>
        <w:color w:val="c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bottom w:color="000000" w:space="1" w:sz="18" w:val="single"/>
      </w:pBdr>
      <w:tabs>
        <w:tab w:val="center" w:pos="4320"/>
        <w:tab w:val="right" w:pos="8640"/>
        <w:tab w:val="right" w:pos="9360"/>
      </w:tabs>
      <w:spacing w:after="120" w:before="480" w:lineRule="auto"/>
      <w:ind w:left="14" w:firstLine="0"/>
      <w:jc w:val="center"/>
      <w:rPr>
        <w:sz w:val="18"/>
        <w:szCs w:val="18"/>
      </w:rPr>
    </w:pPr>
    <w:r w:rsidDel="00000000" w:rsidR="00000000" w:rsidRPr="00000000">
      <w:rPr>
        <w:sz w:val="18"/>
        <w:szCs w:val="18"/>
        <w:rtl w:val="0"/>
      </w:rPr>
      <w:t xml:space="preserve">Seaga Infinity INF5S Snack Vending Machine</w:t>
    </w:r>
  </w:p>
  <w:p w:rsidR="00000000" w:rsidDel="00000000" w:rsidP="00000000" w:rsidRDefault="00000000" w:rsidRPr="00000000" w14:paraId="00000041">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320"/>
        <w:tab w:val="right" w:pos="8640"/>
        <w:tab w:val="right" w:pos="9360"/>
      </w:tabs>
      <w:spacing w:after="0" w:before="0" w:line="240" w:lineRule="auto"/>
      <w:ind w:left="14" w:right="0" w:firstLine="0"/>
      <w:jc w:val="center"/>
      <w:rPr>
        <w:rFonts w:ascii="Arial" w:cs="Arial" w:eastAsia="Arial" w:hAnsi="Arial"/>
        <w:color w:val="c00000"/>
        <w:sz w:val="18"/>
        <w:szCs w:val="18"/>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57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152" w:hanging="432"/>
      </w:pPr>
      <w:rPr/>
    </w:lvl>
    <w:lvl w:ilvl="1">
      <w:start w:val="1"/>
      <w:numFmt w:val="decimal"/>
      <w:lvlText w:val="%1.%2"/>
      <w:lvlJc w:val="left"/>
      <w:pPr>
        <w:ind w:left="1296" w:hanging="576"/>
      </w:pPr>
      <w:rPr>
        <w:rFonts w:ascii="Times New Roman" w:cs="Times New Roman" w:eastAsia="Times New Roman" w:hAnsi="Times New Roman"/>
        <w:b w:val="1"/>
        <w:i w:val="0"/>
        <w:sz w:val="24"/>
        <w:szCs w:val="24"/>
      </w:rPr>
    </w:lvl>
    <w:lvl w:ilvl="2">
      <w:start w:val="1"/>
      <w:numFmt w:val="decimal"/>
      <w:lvlText w:val="%1.%2.%3"/>
      <w:lvlJc w:val="left"/>
      <w:pPr>
        <w:ind w:left="1440" w:hanging="720"/>
      </w:pPr>
      <w:rPr/>
    </w:lvl>
    <w:lvl w:ilvl="3">
      <w:start w:val="1"/>
      <w:numFmt w:val="decimal"/>
      <w:lvlText w:val="%1.%2.%3.%4"/>
      <w:lvlJc w:val="left"/>
      <w:pPr>
        <w:ind w:left="1584" w:hanging="864"/>
      </w:pPr>
      <w:rPr/>
    </w:lvl>
    <w:lvl w:ilvl="4">
      <w:start w:val="1"/>
      <w:numFmt w:val="decimal"/>
      <w:lvlText w:val="%1.%2.%3.%4.%5"/>
      <w:lvlJc w:val="left"/>
      <w:pPr>
        <w:ind w:left="1728" w:hanging="1008"/>
      </w:pPr>
      <w:rPr/>
    </w:lvl>
    <w:lvl w:ilvl="5">
      <w:start w:val="1"/>
      <w:numFmt w:val="decimal"/>
      <w:lvlText w:val="%1.%2.%3.%4.%5.%6"/>
      <w:lvlJc w:val="left"/>
      <w:pPr>
        <w:ind w:left="1872" w:hanging="1152"/>
      </w:pPr>
      <w:rPr/>
    </w:lvl>
    <w:lvl w:ilvl="6">
      <w:start w:val="1"/>
      <w:numFmt w:val="decimal"/>
      <w:lvlText w:val="%1.%2.%3.%4.%5.%6.%7"/>
      <w:lvlJc w:val="left"/>
      <w:pPr>
        <w:ind w:left="2016" w:hanging="1296"/>
      </w:pPr>
      <w:rPr/>
    </w:lvl>
    <w:lvl w:ilvl="7">
      <w:start w:val="1"/>
      <w:numFmt w:val="decimal"/>
      <w:lvlText w:val="%1.%2.%3.%4.%5.%6.%7.%8"/>
      <w:lvlJc w:val="left"/>
      <w:pPr>
        <w:ind w:left="2160" w:hanging="1440"/>
      </w:pPr>
      <w:rPr/>
    </w:lvl>
    <w:lvl w:ilvl="8">
      <w:start w:val="1"/>
      <w:numFmt w:val="decimal"/>
      <w:lvlText w:val="%1.%2.%3.%4.%5.%6.%7.%8.%9"/>
      <w:lvlJc w:val="left"/>
      <w:pPr>
        <w:ind w:left="230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120" w:lineRule="auto"/>
      <w:ind w:left="432" w:hanging="432"/>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0"/>
    </w:pPr>
    <w:rPr>
      <w:rFonts w:ascii="Calibri" w:cs="Calibri" w:eastAsia="Calibri" w:hAnsi="Calibri"/>
      <w:b w:val="1"/>
      <w:smallCaps w:val="1"/>
    </w:rPr>
  </w:style>
  <w:style w:type="paragraph" w:styleId="Heading3">
    <w:name w:val="heading 3"/>
    <w:basedOn w:val="Normal"/>
    <w:next w:val="Normal"/>
    <w:pPr>
      <w:keepNext w:val="1"/>
      <w:tabs>
        <w:tab w:val="left" w:pos="864"/>
      </w:tabs>
      <w:spacing w:before="120" w:lineRule="auto"/>
      <w:ind w:left="720" w:hanging="720"/>
    </w:pPr>
    <w:rPr>
      <w:b w:val="1"/>
    </w:rPr>
  </w:style>
  <w:style w:type="paragraph" w:styleId="Heading4">
    <w:name w:val="heading 4"/>
    <w:basedOn w:val="Normal"/>
    <w:next w:val="Normal"/>
    <w:pPr>
      <w:keepNext w:val="1"/>
      <w:tabs>
        <w:tab w:val="left" w:pos="1152"/>
      </w:tabs>
      <w:spacing w:before="120" w:lineRule="auto"/>
      <w:ind w:left="864" w:hanging="864"/>
    </w:pPr>
    <w:rPr>
      <w:rFonts w:ascii="Arial" w:cs="Arial" w:eastAsia="Arial" w:hAnsi="Arial"/>
      <w:b w:val="1"/>
    </w:rPr>
  </w:style>
  <w:style w:type="paragraph" w:styleId="Heading5">
    <w:name w:val="heading 5"/>
    <w:basedOn w:val="Normal"/>
    <w:next w:val="Normal"/>
    <w:pPr>
      <w:ind w:left="1008" w:hanging="1008"/>
    </w:pPr>
    <w:rPr>
      <w:rFonts w:ascii="Arial" w:cs="Arial" w:eastAsia="Arial" w:hAnsi="Arial"/>
      <w:b w:val="1"/>
    </w:rPr>
  </w:style>
  <w:style w:type="paragraph" w:styleId="Heading6">
    <w:name w:val="heading 6"/>
    <w:basedOn w:val="Normal"/>
    <w:next w:val="Normal"/>
    <w:pPr>
      <w:ind w:left="1152" w:hanging="1152"/>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jc w:val="center"/>
    </w:pPr>
    <w:rPr>
      <w:b w:val="1"/>
      <w:smallCaps w:val="1"/>
      <w:sz w:val="36"/>
      <w:szCs w:val="36"/>
    </w:rPr>
  </w:style>
  <w:style w:type="paragraph" w:styleId="Normal" w:default="1">
    <w:name w:val="Normal"/>
    <w:qFormat w:val="1"/>
    <w:pPr>
      <w:spacing w:after="60" w:before="60"/>
      <w:ind w:left="576"/>
      <w:jc w:val="both"/>
    </w:pPr>
    <w:rPr>
      <w:sz w:val="24"/>
      <w:szCs w:val="24"/>
      <w:lang w:eastAsia="en-US" w:val="en-US"/>
    </w:rPr>
  </w:style>
  <w:style w:type="paragraph" w:styleId="Heading1">
    <w:name w:val="heading 1"/>
    <w:basedOn w:val="Normal"/>
    <w:autoRedefine w:val="1"/>
    <w:qFormat w:val="1"/>
    <w:rsid w:val="00172F69"/>
    <w:pPr>
      <w:widowControl w:val="0"/>
      <w:numPr>
        <w:numId w:val="1"/>
      </w:numPr>
      <w:spacing w:before="120" w:line="240" w:lineRule="atLeast"/>
      <w:jc w:val="left"/>
      <w:outlineLvl w:val="0"/>
    </w:pPr>
    <w:rPr>
      <w:rFonts w:ascii="Arial" w:cs="Arial" w:eastAsia="Arial Unicode MS" w:hAnsi="Arial"/>
      <w:b w:val="1"/>
      <w:bCs w:val="1"/>
      <w:caps w:val="1"/>
      <w:kern w:val="36"/>
      <w:sz w:val="28"/>
      <w:szCs w:val="48"/>
    </w:rPr>
  </w:style>
  <w:style w:type="paragraph" w:styleId="Heading2">
    <w:name w:val="heading 2"/>
    <w:basedOn w:val="Normal"/>
    <w:qFormat w:val="1"/>
    <w:pPr>
      <w:keepNext w:val="1"/>
      <w:keepLines w:val="1"/>
      <w:numPr>
        <w:ilvl w:val="1"/>
        <w:numId w:val="1"/>
      </w:numPr>
      <w:spacing w:after="120" w:before="180"/>
      <w:outlineLvl w:val="1"/>
    </w:pPr>
    <w:rPr>
      <w:rFonts w:cs="Arial Unicode MS" w:eastAsia="Arial Unicode MS"/>
      <w:b w:val="1"/>
      <w:bCs w:val="1"/>
      <w:caps w:val="1"/>
    </w:rPr>
  </w:style>
  <w:style w:type="paragraph" w:styleId="Heading3">
    <w:name w:val="heading 3"/>
    <w:basedOn w:val="Normal"/>
    <w:qFormat w:val="1"/>
    <w:pPr>
      <w:keepNext w:val="1"/>
      <w:numPr>
        <w:ilvl w:val="2"/>
        <w:numId w:val="1"/>
      </w:numPr>
      <w:tabs>
        <w:tab w:val="left" w:pos="864"/>
      </w:tabs>
      <w:spacing w:before="120"/>
      <w:outlineLvl w:val="2"/>
    </w:pPr>
    <w:rPr>
      <w:rFonts w:cs="Arial Unicode MS" w:eastAsia="Arial Unicode MS"/>
      <w:b w:val="1"/>
      <w:bCs w:val="1"/>
    </w:rPr>
  </w:style>
  <w:style w:type="paragraph" w:styleId="Heading4">
    <w:name w:val="heading 4"/>
    <w:basedOn w:val="Normal"/>
    <w:qFormat w:val="1"/>
    <w:pPr>
      <w:keepNext w:val="1"/>
      <w:numPr>
        <w:ilvl w:val="3"/>
        <w:numId w:val="1"/>
      </w:numPr>
      <w:tabs>
        <w:tab w:val="left" w:pos="1152"/>
      </w:tabs>
      <w:spacing w:before="120"/>
      <w:outlineLvl w:val="3"/>
    </w:pPr>
    <w:rPr>
      <w:rFonts w:ascii="Arial" w:cs="Arial Unicode MS" w:eastAsia="Arial Unicode MS" w:hAnsi="Arial"/>
      <w:b w:val="1"/>
      <w:bCs w:val="1"/>
    </w:rPr>
  </w:style>
  <w:style w:type="paragraph" w:styleId="Heading5">
    <w:name w:val="heading 5"/>
    <w:basedOn w:val="Normal"/>
    <w:qFormat w:val="1"/>
    <w:pPr>
      <w:numPr>
        <w:ilvl w:val="4"/>
        <w:numId w:val="1"/>
      </w:numPr>
      <w:outlineLvl w:val="4"/>
    </w:pPr>
    <w:rPr>
      <w:rFonts w:ascii="Arial" w:cs="Arial Unicode MS" w:eastAsia="Arial Unicode MS" w:hAnsi="Arial"/>
      <w:b w:val="1"/>
      <w:bCs w:val="1"/>
      <w:szCs w:val="20"/>
    </w:rPr>
  </w:style>
  <w:style w:type="paragraph" w:styleId="Heading6">
    <w:name w:val="heading 6"/>
    <w:basedOn w:val="Normal"/>
    <w:next w:val="Normal"/>
    <w:qFormat w:val="1"/>
    <w:pPr>
      <w:numPr>
        <w:ilvl w:val="5"/>
        <w:numId w:val="1"/>
      </w:numPr>
      <w:outlineLvl w:val="5"/>
    </w:pPr>
    <w:rPr>
      <w:rFonts w:ascii="Arial" w:hAnsi="Arial"/>
      <w:b w:val="1"/>
      <w:bCs w:val="1"/>
      <w:caps w:val="1"/>
      <w:sz w:val="28"/>
      <w:szCs w:val="22"/>
    </w:rPr>
  </w:style>
  <w:style w:type="paragraph" w:styleId="Heading7">
    <w:name w:val="heading 7"/>
    <w:basedOn w:val="Normal"/>
    <w:next w:val="Normal"/>
    <w:qFormat w:val="1"/>
    <w:pPr>
      <w:numPr>
        <w:ilvl w:val="6"/>
        <w:numId w:val="1"/>
      </w:numPr>
      <w:outlineLvl w:val="6"/>
    </w:pPr>
    <w:rPr>
      <w:rFonts w:ascii="Arial" w:hAnsi="Arial"/>
      <w:b w:val="1"/>
    </w:rPr>
  </w:style>
  <w:style w:type="paragraph" w:styleId="Heading8">
    <w:name w:val="heading 8"/>
    <w:basedOn w:val="Normal"/>
    <w:next w:val="Normal"/>
    <w:qFormat w:val="1"/>
    <w:pPr>
      <w:numPr>
        <w:ilvl w:val="7"/>
        <w:numId w:val="1"/>
      </w:numPr>
      <w:outlineLvl w:val="7"/>
    </w:pPr>
    <w:rPr>
      <w:rFonts w:ascii="Arial" w:hAnsi="Arial"/>
      <w:b w:val="1"/>
      <w:iCs w:val="1"/>
    </w:rPr>
  </w:style>
  <w:style w:type="paragraph" w:styleId="Heading9">
    <w:name w:val="heading 9"/>
    <w:basedOn w:val="Normal"/>
    <w:next w:val="Normal"/>
    <w:qFormat w:val="1"/>
    <w:pPr>
      <w:numPr>
        <w:ilvl w:val="8"/>
        <w:numId w:val="1"/>
      </w:numPr>
      <w:spacing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val="1"/>
    <w:pPr>
      <w:spacing w:after="120" w:before="180"/>
      <w:ind w:left="0"/>
      <w:jc w:val="center"/>
    </w:pPr>
    <w:rPr>
      <w:b w:val="1"/>
      <w:bCs w:val="1"/>
      <w:caps w:val="1"/>
      <w:sz w:val="36"/>
    </w:rPr>
  </w:style>
  <w:style w:type="paragraph" w:styleId="Caption">
    <w:name w:val="caption"/>
    <w:basedOn w:val="Normal"/>
    <w:next w:val="Normal"/>
    <w:qFormat w:val="1"/>
    <w:pPr>
      <w:keepNext w:val="1"/>
    </w:pPr>
    <w:rPr>
      <w:b w:val="1"/>
      <w:bCs w:val="1"/>
      <w:i w:val="1"/>
      <w:sz w:val="20"/>
      <w:szCs w:val="20"/>
    </w:rPr>
  </w:style>
  <w:style w:type="paragraph" w:styleId="BodyTextIndent">
    <w:name w:val="Body Text Indent"/>
    <w:basedOn w:val="Normal"/>
  </w:style>
  <w:style w:type="paragraph" w:styleId="TOC1">
    <w:name w:val="toc 1"/>
    <w:basedOn w:val="Normal"/>
    <w:next w:val="Normal"/>
    <w:semiHidden w:val="1"/>
    <w:pPr>
      <w:tabs>
        <w:tab w:val="left" w:pos="288"/>
        <w:tab w:val="left" w:pos="720"/>
        <w:tab w:val="right" w:leader="dot" w:pos="9350"/>
      </w:tabs>
      <w:spacing w:before="180"/>
      <w:ind w:left="0"/>
    </w:pPr>
    <w:rPr>
      <w:b w:val="1"/>
      <w:bCs w:val="1"/>
      <w:caps w:val="1"/>
      <w:noProof w:val="1"/>
      <w:szCs w:val="28"/>
    </w:rPr>
  </w:style>
  <w:style w:type="paragraph" w:styleId="TOC2">
    <w:name w:val="toc 2"/>
    <w:basedOn w:val="Normal"/>
    <w:next w:val="Normal"/>
    <w:semiHidden w:val="1"/>
    <w:pPr>
      <w:tabs>
        <w:tab w:val="left" w:pos="720"/>
        <w:tab w:val="left" w:pos="1296"/>
        <w:tab w:val="right" w:leader="dot" w:pos="9350"/>
      </w:tabs>
      <w:ind w:left="432"/>
    </w:pPr>
    <w:rPr>
      <w:noProof w:val="1"/>
    </w:rPr>
  </w:style>
  <w:style w:type="paragraph" w:styleId="TOC3">
    <w:name w:val="toc 3"/>
    <w:basedOn w:val="Normal"/>
    <w:next w:val="Normal"/>
    <w:autoRedefine w:val="1"/>
    <w:semiHidden w:val="1"/>
    <w:pPr>
      <w:tabs>
        <w:tab w:val="left" w:pos="1620"/>
        <w:tab w:val="left" w:pos="1920"/>
        <w:tab w:val="right" w:leader="dot" w:pos="9350"/>
      </w:tabs>
      <w:ind w:left="900"/>
    </w:pPr>
    <w:rPr>
      <w:noProof w:val="1"/>
    </w:rPr>
  </w:style>
  <w:style w:type="paragraph" w:styleId="TOC4">
    <w:name w:val="toc 4"/>
    <w:basedOn w:val="Normal"/>
    <w:next w:val="Normal"/>
    <w:autoRedefine w:val="1"/>
    <w:semiHidden w:val="1"/>
    <w:pPr>
      <w:tabs>
        <w:tab w:val="left" w:pos="2160"/>
        <w:tab w:val="right" w:leader="dot" w:pos="9360"/>
      </w:tabs>
      <w:ind w:left="0"/>
    </w:pPr>
    <w:rPr>
      <w:b w:val="1"/>
      <w:caps w:val="1"/>
      <w:szCs w:val="28"/>
    </w:rPr>
  </w:style>
  <w:style w:type="paragraph" w:styleId="TOC5">
    <w:name w:val="toc 5"/>
    <w:basedOn w:val="Normal"/>
    <w:next w:val="Normal"/>
    <w:autoRedefine w:val="1"/>
    <w:semiHidden w:val="1"/>
    <w:pPr>
      <w:ind w:left="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paragraph" w:styleId="tabletxt" w:customStyle="1">
    <w:name w:val="tabletxt"/>
    <w:basedOn w:val="Normal"/>
    <w:pPr>
      <w:autoSpaceDE w:val="0"/>
      <w:autoSpaceDN w:val="0"/>
      <w:adjustRightInd w:val="0"/>
      <w:spacing w:after="20" w:before="20"/>
      <w:ind w:left="0"/>
    </w:pPr>
    <w:rPr>
      <w:rFonts w:cs="Arial"/>
      <w:sz w:val="20"/>
      <w:szCs w:val="20"/>
    </w:rPr>
  </w:style>
  <w:style w:type="paragraph" w:styleId="TitleCover" w:customStyle="1">
    <w:name w:val="Title Cover"/>
    <w:basedOn w:val="Normal"/>
    <w:next w:val="Normal"/>
    <w:pPr>
      <w:keepNext w:val="1"/>
      <w:keepLines w:val="1"/>
      <w:pBdr>
        <w:top w:color="auto" w:space="31" w:sz="48" w:val="single"/>
      </w:pBdr>
      <w:tabs>
        <w:tab w:val="left" w:pos="0"/>
      </w:tabs>
      <w:spacing w:after="500" w:before="240" w:line="640" w:lineRule="exact"/>
      <w:ind w:left="0"/>
      <w:jc w:val="left"/>
    </w:pPr>
    <w:rPr>
      <w:rFonts w:ascii="Arial Black" w:hAnsi="Arial Black"/>
      <w:b w:val="1"/>
      <w:spacing w:val="-48"/>
      <w:kern w:val="28"/>
      <w:sz w:val="64"/>
      <w:szCs w:val="20"/>
    </w:rPr>
  </w:style>
  <w:style w:type="paragraph" w:styleId="SubtitleCover" w:customStyle="1">
    <w:name w:val="Subtitle Cover"/>
    <w:basedOn w:val="TitleCover"/>
    <w:next w:val="BodyText"/>
    <w:pPr>
      <w:pBdr>
        <w:top w:color="auto" w:space="24" w:sz="6" w:val="single"/>
      </w:pBdr>
      <w:tabs>
        <w:tab w:val="clear" w:pos="0"/>
      </w:tabs>
      <w:spacing w:after="0" w:before="0" w:line="480" w:lineRule="atLeast"/>
      <w:jc w:val="right"/>
    </w:pPr>
    <w:rPr>
      <w:rFonts w:ascii="Arial" w:hAnsi="Arial"/>
      <w:b w:val="0"/>
      <w:spacing w:val="-30"/>
      <w:sz w:val="48"/>
    </w:rPr>
  </w:style>
  <w:style w:type="paragraph" w:styleId="SubtitleCover2" w:customStyle="1">
    <w:name w:val="Subtitle Cover2"/>
    <w:basedOn w:val="SubtitleCover"/>
    <w:rPr>
      <w:spacing w:val="0"/>
      <w:sz w:val="36"/>
    </w:rPr>
  </w:style>
  <w:style w:type="paragraph" w:styleId="BodyText">
    <w:name w:val="Body Text"/>
    <w:basedOn w:val="Normal"/>
    <w:pPr>
      <w:spacing w:after="120"/>
    </w:pPr>
  </w:style>
  <w:style w:type="paragraph" w:styleId="Tabletext" w:customStyle="1">
    <w:name w:val="Tabletext"/>
    <w:basedOn w:val="Normal"/>
    <w:pPr>
      <w:keepLines w:val="1"/>
      <w:widowControl w:val="0"/>
      <w:spacing w:after="0" w:before="0" w:line="240" w:lineRule="atLeast"/>
      <w:ind w:left="0"/>
      <w:jc w:val="left"/>
    </w:pPr>
    <w:rPr>
      <w:rFonts w:ascii="Arial" w:hAnsi="Arial"/>
      <w:sz w:val="20"/>
      <w:szCs w:val="20"/>
    </w:rPr>
  </w:style>
  <w:style w:type="paragraph" w:styleId="InfoBlueCharChar" w:customStyle="1">
    <w:name w:val="InfoBlue Char Char"/>
    <w:basedOn w:val="Normal"/>
    <w:next w:val="BodyText"/>
    <w:pPr>
      <w:keepLines w:val="1"/>
      <w:spacing w:after="120" w:before="0" w:line="240" w:lineRule="atLeast"/>
    </w:pPr>
    <w:rPr>
      <w:i w:val="1"/>
      <w:color w:val="0000ff"/>
      <w:szCs w:val="20"/>
    </w:rPr>
  </w:style>
  <w:style w:type="paragraph" w:styleId="Paragraph2" w:customStyle="1">
    <w:name w:val="Paragraph2"/>
    <w:basedOn w:val="Normal"/>
    <w:pPr>
      <w:widowControl w:val="0"/>
      <w:spacing w:after="0" w:before="80" w:line="240" w:lineRule="atLeast"/>
      <w:ind w:left="720"/>
    </w:pPr>
    <w:rPr>
      <w:rFonts w:ascii="Arial" w:hAnsi="Arial"/>
      <w:color w:val="000000"/>
      <w:sz w:val="20"/>
      <w:szCs w:val="20"/>
      <w:lang w:val="en-AU"/>
    </w:rPr>
  </w:style>
  <w:style w:type="paragraph" w:styleId="StyleSubtitleCover2TopNoborder" w:customStyle="1">
    <w:name w:val="Style Subtitle Cover2 + Top: (No border)"/>
    <w:basedOn w:val="SubtitleCover2"/>
    <w:pPr>
      <w:pBdr>
        <w:top w:color="auto" w:space="0" w:sz="0" w:val="none"/>
      </w:pBdr>
    </w:pPr>
    <w:rPr>
      <w:rFonts w:ascii="Times New Roman" w:hAnsi="Times New Roman"/>
      <w:sz w:val="32"/>
    </w:rPr>
  </w:style>
  <w:style w:type="paragraph" w:styleId="StyleInfoBlueBoldCharChar" w:customStyle="1">
    <w:name w:val="Style InfoBlue + Bold Char Char"/>
    <w:basedOn w:val="InfoBlueCharChar"/>
    <w:rPr>
      <w:b w:val="1"/>
      <w:bCs w:val="1"/>
      <w:iCs w:val="1"/>
    </w:rPr>
  </w:style>
  <w:style w:type="character" w:styleId="InfoBlueCharCharChar" w:customStyle="1">
    <w:name w:val="InfoBlue Char Char Char"/>
    <w:basedOn w:val="DefaultParagraphFont"/>
    <w:rPr>
      <w:i w:val="1"/>
      <w:color w:val="0000ff"/>
      <w:sz w:val="24"/>
      <w:lang w:bidi="ar-SA" w:eastAsia="en-US" w:val="en-US"/>
    </w:rPr>
  </w:style>
  <w:style w:type="character" w:styleId="StyleInfoBlueBoldCharCharChar" w:customStyle="1">
    <w:name w:val="Style InfoBlue + Bold Char Char Char"/>
    <w:basedOn w:val="InfoBlueCharCharChar"/>
    <w:rPr>
      <w:b w:val="1"/>
      <w:bCs w:val="1"/>
      <w:i w:val="1"/>
      <w:iCs w:val="1"/>
      <w:color w:val="0000ff"/>
      <w:sz w:val="24"/>
      <w:lang w:bidi="ar-SA" w:eastAsia="en-US" w:val="en-US"/>
    </w:rPr>
  </w:style>
  <w:style w:type="paragraph" w:styleId="BalloonText">
    <w:name w:val="Balloon Text"/>
    <w:basedOn w:val="Normal"/>
    <w:semiHidden w:val="1"/>
    <w:rPr>
      <w:rFonts w:ascii="Tahoma" w:cs="Tahoma" w:hAnsi="Tahoma"/>
      <w:sz w:val="16"/>
      <w:szCs w:val="16"/>
    </w:rPr>
  </w:style>
  <w:style w:type="character" w:styleId="CommentReference">
    <w:name w:val="annotation reference"/>
    <w:basedOn w:val="DefaultParagraphFont"/>
    <w:semiHidden w:val="1"/>
    <w:rPr>
      <w:sz w:val="16"/>
      <w:szCs w:val="16"/>
    </w:rPr>
  </w:style>
  <w:style w:type="paragraph" w:styleId="InfoBlueCharCharCharCharCharChar" w:customStyle="1">
    <w:name w:val="InfoBlue Char Char Char Char Char Char"/>
    <w:basedOn w:val="Normal"/>
    <w:next w:val="BodyText"/>
    <w:pPr>
      <w:keepLines w:val="1"/>
      <w:spacing w:after="120" w:before="0" w:line="240" w:lineRule="atLeast"/>
    </w:pPr>
    <w:rPr>
      <w:i w:val="1"/>
      <w:color w:val="0000ff"/>
    </w:rPr>
  </w:style>
  <w:style w:type="character" w:styleId="InfoBlueCharCharCharCharCharCharChar" w:customStyle="1">
    <w:name w:val="InfoBlue Char Char Char Char Char Char Char"/>
    <w:basedOn w:val="DefaultParagraphFont"/>
    <w:rPr>
      <w:i w:val="1"/>
      <w:color w:val="0000ff"/>
      <w:sz w:val="24"/>
      <w:szCs w:val="24"/>
      <w:lang w:bidi="ar-SA" w:eastAsia="en-US" w:val="en-US"/>
    </w:rPr>
  </w:style>
  <w:style w:type="paragraph" w:styleId="InfoBlueChar" w:customStyle="1">
    <w:name w:val="InfoBlue Char"/>
    <w:basedOn w:val="Normal"/>
    <w:next w:val="BodyText"/>
    <w:pPr>
      <w:keepLines w:val="1"/>
      <w:spacing w:after="120" w:before="0" w:line="240" w:lineRule="atLeast"/>
    </w:pPr>
    <w:rPr>
      <w:i w:val="1"/>
      <w:color w:val="0000ff"/>
      <w:szCs w:val="20"/>
    </w:rPr>
  </w:style>
  <w:style w:type="paragraph" w:styleId="CommentText">
    <w:name w:val="annotation text"/>
    <w:basedOn w:val="Normal"/>
    <w:semiHidden w:val="1"/>
    <w:rPr>
      <w:sz w:val="20"/>
      <w:szCs w:val="20"/>
    </w:rPr>
  </w:style>
  <w:style w:type="paragraph" w:styleId="CommentSubject">
    <w:name w:val="annotation subject"/>
    <w:basedOn w:val="CommentText"/>
    <w:next w:val="CommentText"/>
    <w:semiHidden w:val="1"/>
    <w:rPr>
      <w:b w:val="1"/>
      <w:bCs w:val="1"/>
    </w:rPr>
  </w:style>
  <w:style w:type="paragraph" w:styleId="ResumeBody" w:customStyle="1">
    <w:name w:val="Resume Body"/>
    <w:basedOn w:val="Normal"/>
    <w:pPr>
      <w:spacing w:after="120"/>
      <w:ind w:left="0"/>
      <w:jc w:val="left"/>
    </w:pPr>
    <w:rPr>
      <w:sz w:val="20"/>
    </w:rPr>
  </w:style>
  <w:style w:type="paragraph" w:styleId="BodyText2">
    <w:name w:val="Body Text 2"/>
    <w:basedOn w:val="Normal"/>
    <w:pPr>
      <w:spacing w:after="0" w:before="0"/>
      <w:ind w:left="0"/>
      <w:jc w:val="left"/>
    </w:pPr>
    <w:rPr>
      <w:rFonts w:ascii="Arial" w:cs="Arial" w:hAnsi="Arial"/>
      <w:sz w:val="22"/>
      <w:szCs w:val="22"/>
    </w:rPr>
  </w:style>
  <w:style w:type="paragraph" w:styleId="NormalWeb">
    <w:name w:val="Normal (Web)"/>
    <w:basedOn w:val="Normal"/>
    <w:pPr>
      <w:spacing w:after="100" w:afterAutospacing="1" w:before="100" w:beforeAutospacing="1"/>
      <w:ind w:left="0"/>
      <w:jc w:val="left"/>
    </w:pPr>
  </w:style>
  <w:style w:type="character" w:styleId="Strong">
    <w:name w:val="Strong"/>
    <w:basedOn w:val="DefaultParagraphFont"/>
    <w:qFormat w:val="1"/>
    <w:rPr>
      <w:b w:val="1"/>
      <w:bCs w:val="1"/>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styleId="InstructionsChar1" w:customStyle="1">
    <w:name w:val="Instructions Char1"/>
    <w:basedOn w:val="DefaultParagraphFont"/>
    <w:rPr>
      <w:i w:val="1"/>
      <w:color w:val="0000ff"/>
      <w:sz w:val="24"/>
      <w:lang w:bidi="ar-SA" w:eastAsia="en-US" w:val="en-US"/>
    </w:rPr>
  </w:style>
  <w:style w:type="character" w:styleId="HTMLCite">
    <w:name w:val="HTML Cite"/>
    <w:basedOn w:val="DefaultParagraphFont"/>
    <w:rPr>
      <w:i w:val="1"/>
      <w:iCs w:val="1"/>
    </w:rPr>
  </w:style>
  <w:style w:type="paragraph" w:styleId="TableColumnHeading" w:customStyle="1">
    <w:name w:val="TableColumnHeading"/>
    <w:next w:val="Normal"/>
    <w:pPr>
      <w:spacing w:after="60" w:before="60"/>
      <w:jc w:val="center"/>
    </w:pPr>
    <w:rPr>
      <w:rFonts w:ascii="Arial" w:hAnsi="Arial"/>
      <w:b w:val="1"/>
      <w:lang w:eastAsia="en-US" w:val="en-US"/>
    </w:rPr>
  </w:style>
  <w:style w:type="paragraph" w:styleId="TableText0" w:customStyle="1">
    <w:name w:val="TableText"/>
    <w:aliases w:val="tt"/>
    <w:pPr>
      <w:spacing w:after="40" w:before="40"/>
    </w:pPr>
    <w:rPr>
      <w:rFonts w:ascii="Arial" w:hAnsi="Arial"/>
      <w:lang w:eastAsia="en-US" w:val="en-US"/>
    </w:rPr>
  </w:style>
  <w:style w:type="paragraph" w:styleId="BodyTextIndent2">
    <w:name w:val="Body Text Indent 2"/>
    <w:basedOn w:val="Normal"/>
    <w:pPr>
      <w:spacing w:after="0" w:before="120"/>
      <w:ind w:left="720"/>
      <w:jc w:val="left"/>
    </w:pPr>
    <w:rPr>
      <w:rFonts w:ascii="Arial" w:cs="Arial" w:hAnsi="Arial"/>
      <w:sz w:val="20"/>
      <w:szCs w:val="20"/>
    </w:rPr>
  </w:style>
  <w:style w:type="character" w:styleId="StyleInfoBlueBoldCharCharCharChar" w:customStyle="1">
    <w:name w:val="Style InfoBlue + Bold Char Char Char Char"/>
    <w:basedOn w:val="InfoBlueCharCharChar"/>
    <w:rPr>
      <w:b w:val="1"/>
      <w:bCs w:val="1"/>
      <w:i w:val="1"/>
      <w:iCs w:val="1"/>
      <w:color w:val="0000ff"/>
      <w:sz w:val="24"/>
      <w:lang w:bidi="ar-SA" w:eastAsia="en-US" w:val="en-US"/>
    </w:rPr>
  </w:style>
  <w:style w:type="paragraph" w:styleId="Tableheader" w:customStyle="1">
    <w:name w:val="Table header"/>
    <w:basedOn w:val="Normal"/>
    <w:pPr>
      <w:spacing w:after="0" w:before="0"/>
      <w:ind w:left="0"/>
      <w:jc w:val="left"/>
    </w:pPr>
    <w:rPr>
      <w:rFonts w:ascii="Arial" w:hAnsi="Arial"/>
      <w:b w:val="1"/>
      <w:sz w:val="22"/>
    </w:rPr>
  </w:style>
  <w:style w:type="paragraph" w:styleId="PageTitle" w:customStyle="1">
    <w:name w:val="PageTitle"/>
    <w:basedOn w:val="Normal"/>
    <w:pPr>
      <w:spacing w:after="120" w:before="120"/>
      <w:ind w:left="0"/>
      <w:jc w:val="center"/>
      <w:outlineLvl w:val="0"/>
    </w:pPr>
    <w:rPr>
      <w:rFonts w:ascii="Arial" w:hAnsi="Arial"/>
      <w:b w:val="1"/>
      <w:color w:val="000000"/>
      <w:sz w:val="32"/>
      <w:szCs w:val="20"/>
    </w:rPr>
  </w:style>
  <w:style w:type="paragraph" w:styleId="TableHeading" w:customStyle="1">
    <w:name w:val="Table Heading"/>
    <w:pPr>
      <w:shd w:color="auto" w:fill="ffffff" w:val="pct5"/>
      <w:snapToGrid w:val="0"/>
    </w:pPr>
    <w:rPr>
      <w:rFonts w:ascii="Arial" w:hAnsi="Arial"/>
      <w:b w:val="1"/>
      <w:lang w:eastAsia="en-US" w:val="en-US"/>
    </w:rPr>
  </w:style>
  <w:style w:type="paragraph" w:styleId="Table10Text" w:customStyle="1">
    <w:name w:val="Table 10 Text"/>
    <w:basedOn w:val="Normal"/>
    <w:pPr>
      <w:spacing w:after="20" w:before="20"/>
      <w:ind w:left="0"/>
      <w:jc w:val="left"/>
    </w:pPr>
    <w:rPr>
      <w:rFonts w:ascii="Arial" w:hAnsi="Arial"/>
      <w:sz w:val="20"/>
      <w:szCs w:val="20"/>
    </w:rPr>
  </w:style>
  <w:style w:type="paragraph" w:styleId="TextBold" w:customStyle="1">
    <w:name w:val="Text Bold"/>
    <w:basedOn w:val="Normal"/>
    <w:next w:val="Normal"/>
    <w:pPr>
      <w:spacing w:after="0" w:before="0"/>
      <w:ind w:left="0"/>
      <w:jc w:val="left"/>
    </w:pPr>
    <w:rPr>
      <w:rFonts w:ascii="Arial" w:hAnsi="Arial"/>
      <w:b w:val="1"/>
      <w:sz w:val="20"/>
      <w:szCs w:val="20"/>
    </w:rPr>
  </w:style>
  <w:style w:type="paragraph" w:styleId="TextUnderBold" w:customStyle="1">
    <w:name w:val="Text UnderBold"/>
    <w:basedOn w:val="Normal"/>
    <w:pPr>
      <w:spacing w:after="0" w:before="0"/>
      <w:ind w:left="0"/>
      <w:jc w:val="center"/>
    </w:pPr>
    <w:rPr>
      <w:rFonts w:ascii="Arial" w:hAnsi="Arial"/>
      <w:sz w:val="20"/>
      <w:szCs w:val="20"/>
      <w:u w:val="single"/>
    </w:rPr>
  </w:style>
  <w:style w:type="paragraph" w:styleId="BodyTextKeep" w:customStyle="1">
    <w:name w:val="Body Text Keep"/>
    <w:basedOn w:val="BodyText"/>
    <w:pPr>
      <w:keepNext w:val="1"/>
      <w:spacing w:after="220" w:before="0" w:line="220" w:lineRule="atLeast"/>
      <w:ind w:left="1080"/>
      <w:jc w:val="left"/>
    </w:pPr>
    <w:rPr>
      <w:rFonts w:ascii="Arial" w:hAnsi="Arial"/>
      <w:szCs w:val="20"/>
    </w:rPr>
  </w:style>
  <w:style w:type="paragraph" w:styleId="SectionHeading" w:customStyle="1">
    <w:name w:val="Section Heading"/>
    <w:basedOn w:val="Heading1"/>
    <w:pPr>
      <w:keepLines w:val="1"/>
      <w:numPr>
        <w:numId w:val="0"/>
      </w:numPr>
      <w:shd w:color="auto" w:fill="auto" w:val="pct15"/>
      <w:spacing w:after="220" w:before="220" w:line="280" w:lineRule="atLeast"/>
      <w:ind w:firstLine="1080"/>
    </w:pPr>
    <w:rPr>
      <w:rFonts w:eastAsia="Times New Roman"/>
      <w:bCs w:val="0"/>
      <w:caps w:val="0"/>
      <w:spacing w:val="-10"/>
      <w:kern w:val="28"/>
      <w:position w:val="6"/>
      <w:sz w:val="24"/>
      <w:szCs w:val="20"/>
    </w:rPr>
  </w:style>
  <w:style w:type="paragraph" w:styleId="narratstyle" w:customStyle="1">
    <w:name w:val="narrat style"/>
    <w:basedOn w:val="SectionHeading"/>
    <w:pPr>
      <w:keepLines w:val="0"/>
      <w:shd w:color="auto" w:fill="auto" w:val="clear"/>
      <w:spacing w:after="0" w:before="0" w:line="240" w:lineRule="auto"/>
      <w:ind w:left="342" w:right="355" w:firstLine="0"/>
      <w:jc w:val="center"/>
      <w:outlineLvl w:val="9"/>
    </w:pPr>
    <w:rPr>
      <w:rFonts w:ascii="Book Antiqua" w:hAnsi="Book Antiqua"/>
      <w:i w:val="1"/>
      <w:spacing w:val="0"/>
      <w:kern w:val="0"/>
      <w:position w:val="0"/>
      <w:sz w:val="22"/>
    </w:rPr>
  </w:style>
  <w:style w:type="paragraph" w:styleId="formtext" w:customStyle="1">
    <w:name w:val="form text"/>
    <w:basedOn w:val="Normal"/>
    <w:pPr>
      <w:spacing w:after="0" w:before="120"/>
      <w:ind w:left="0"/>
      <w:jc w:val="left"/>
    </w:pPr>
    <w:rPr>
      <w:b w:val="1"/>
      <w:i w:val="1"/>
      <w:sz w:val="22"/>
      <w:szCs w:val="20"/>
    </w:rPr>
  </w:style>
  <w:style w:type="paragraph" w:styleId="tableheading0" w:customStyle="1">
    <w:name w:val="table heading"/>
    <w:basedOn w:val="formtext-small"/>
    <w:pPr>
      <w:spacing w:before="60"/>
    </w:pPr>
    <w:rPr>
      <w:i w:val="1"/>
      <w:sz w:val="18"/>
    </w:rPr>
  </w:style>
  <w:style w:type="paragraph" w:styleId="formtext-small" w:customStyle="1">
    <w:name w:val="form text - small"/>
    <w:basedOn w:val="Normal"/>
    <w:pPr>
      <w:spacing w:after="0" w:before="240"/>
      <w:ind w:left="0"/>
      <w:jc w:val="left"/>
    </w:pPr>
    <w:rPr>
      <w:sz w:val="20"/>
      <w:szCs w:val="20"/>
    </w:rPr>
  </w:style>
  <w:style w:type="paragraph" w:styleId="Instructions" w:customStyle="1">
    <w:name w:val="Instructions"/>
    <w:basedOn w:val="Normal"/>
    <w:autoRedefine w:val="1"/>
    <w:pPr>
      <w:shd w:color="auto" w:fill="ffffff" w:val="clear"/>
      <w:spacing w:after="0" w:before="0"/>
      <w:ind w:left="0"/>
      <w:jc w:val="left"/>
    </w:pPr>
    <w:rPr>
      <w:i w:val="1"/>
      <w:color w:val="0000ff"/>
      <w:szCs w:val="20"/>
    </w:rPr>
  </w:style>
  <w:style w:type="paragraph" w:styleId="Bullet1" w:customStyle="1">
    <w:name w:val="Bullet 1"/>
    <w:basedOn w:val="Normal"/>
    <w:pPr>
      <w:numPr>
        <w:numId w:val="2"/>
      </w:numPr>
      <w:tabs>
        <w:tab w:val="clear" w:pos="720"/>
        <w:tab w:val="num" w:pos="340"/>
        <w:tab w:val="num" w:pos="454"/>
      </w:tabs>
      <w:spacing w:after="0" w:before="0"/>
      <w:ind w:left="340" w:hanging="227"/>
      <w:jc w:val="left"/>
    </w:pPr>
    <w:rPr>
      <w:rFonts w:ascii="Arial" w:hAnsi="Arial"/>
    </w:rPr>
  </w:style>
  <w:style w:type="paragraph" w:styleId="TableText1" w:customStyle="1">
    <w:name w:val="Table Text"/>
    <w:basedOn w:val="TableHeading"/>
    <w:pPr>
      <w:shd w:color="auto" w:fill="auto" w:val="clear"/>
      <w:overflowPunct w:val="0"/>
      <w:autoSpaceDE w:val="0"/>
      <w:autoSpaceDN w:val="0"/>
      <w:adjustRightInd w:val="0"/>
      <w:snapToGrid w:val="1"/>
      <w:textAlignment w:val="baseline"/>
    </w:pPr>
    <w:rPr>
      <w:b w:val="0"/>
      <w:noProof w:val="1"/>
    </w:rPr>
  </w:style>
  <w:style w:type="character" w:styleId="HTMLAcronym">
    <w:name w:val="HTML Acronym"/>
    <w:basedOn w:val="DefaultParagraphFont"/>
    <w:rPr>
      <w:color w:val="666666"/>
    </w:rPr>
  </w:style>
  <w:style w:type="paragraph" w:styleId="InfoBlueCharChar2" w:customStyle="1">
    <w:name w:val="InfoBlue Char Char2"/>
    <w:basedOn w:val="Normal"/>
    <w:next w:val="BodyText"/>
    <w:pPr>
      <w:keepLines w:val="1"/>
      <w:spacing w:after="120" w:before="0" w:line="240" w:lineRule="atLeast"/>
    </w:pPr>
    <w:rPr>
      <w:i w:val="1"/>
      <w:color w:val="0000ff"/>
    </w:rPr>
  </w:style>
  <w:style w:type="character" w:styleId="InfoBlueCharCharChar1" w:customStyle="1">
    <w:name w:val="InfoBlue Char Char Char1"/>
    <w:basedOn w:val="DefaultParagraphFont"/>
    <w:rPr>
      <w:i w:val="1"/>
      <w:color w:val="0000ff"/>
      <w:sz w:val="24"/>
      <w:szCs w:val="24"/>
      <w:lang w:bidi="ar-SA" w:eastAsia="en-US" w:val="en-US"/>
    </w:rPr>
  </w:style>
  <w:style w:type="character" w:styleId="InstructionsChar" w:customStyle="1">
    <w:name w:val="Instructions Char"/>
    <w:basedOn w:val="DefaultParagraphFont"/>
    <w:rPr>
      <w:i w:val="1"/>
      <w:color w:val="0000ff"/>
      <w:sz w:val="24"/>
      <w:lang w:bidi="ar-SA" w:eastAsia="en-US" w:val="en-US"/>
    </w:rPr>
  </w:style>
  <w:style w:type="paragraph" w:styleId="Appendix" w:customStyle="1">
    <w:name w:val="Appendix"/>
    <w:basedOn w:val="Normal"/>
    <w:pPr>
      <w:ind w:left="0"/>
    </w:pPr>
    <w:rPr>
      <w:b w:val="1"/>
      <w:sz w:val="28"/>
      <w:szCs w:val="28"/>
    </w:rPr>
  </w:style>
  <w:style w:type="paragraph" w:styleId="TableButton" w:customStyle="1">
    <w:name w:val="Table Button"/>
    <w:basedOn w:val="Normal"/>
    <w:pPr>
      <w:numPr>
        <w:numId w:val="24"/>
      </w:numPr>
      <w:jc w:val="left"/>
    </w:pPr>
    <w:rPr>
      <w:szCs w:val="20"/>
    </w:rPr>
  </w:style>
  <w:style w:type="paragraph" w:styleId="InfoBlue" w:customStyle="1">
    <w:name w:val="InfoBlue"/>
    <w:basedOn w:val="Normal"/>
    <w:next w:val="BodyText"/>
    <w:pPr>
      <w:widowControl w:val="0"/>
      <w:spacing w:after="120" w:before="0" w:line="240" w:lineRule="atLeast"/>
    </w:pPr>
    <w:rPr>
      <w:i w:val="1"/>
      <w:color w:val="0000ff"/>
      <w:szCs w:val="20"/>
    </w:rPr>
  </w:style>
  <w:style w:type="character" w:styleId="PageNumber">
    <w:name w:val="page number"/>
    <w:basedOn w:val="DefaultParagraphFont"/>
  </w:style>
  <w:style w:type="character" w:styleId="AppendixChar" w:customStyle="1">
    <w:name w:val="Appendix Char"/>
    <w:basedOn w:val="DefaultParagraphFont"/>
    <w:rPr>
      <w:b w:val="1"/>
      <w:sz w:val="28"/>
      <w:szCs w:val="28"/>
      <w:lang w:bidi="ar-SA" w:eastAsia="en-US" w:val="en-US"/>
    </w:rPr>
  </w:style>
  <w:style w:type="paragraph" w:styleId="Subheading" w:customStyle="1">
    <w:name w:val="Subheading"/>
    <w:basedOn w:val="BodyText"/>
    <w:rsid w:val="00AC3B89"/>
    <w:pPr>
      <w:keepLines w:val="1"/>
      <w:widowControl w:val="0"/>
      <w:spacing w:before="240" w:line="240" w:lineRule="atLeast"/>
      <w:ind w:left="720"/>
      <w:jc w:val="left"/>
    </w:pPr>
    <w:rPr>
      <w:rFonts w:ascii="Arial" w:hAnsi="Arial"/>
      <w:b w:val="1"/>
      <w:bCs w:val="1"/>
      <w:sz w:val="20"/>
      <w:szCs w:val="20"/>
    </w:rPr>
  </w:style>
  <w:style w:type="paragraph" w:styleId="NormalArial" w:customStyle="1">
    <w:name w:val="Normal + Arial"/>
    <w:aliases w:val="Italic,Blue"/>
    <w:basedOn w:val="Normal"/>
    <w:rsid w:val="00650BB0"/>
  </w:style>
  <w:style w:type="paragraph" w:styleId="Heading2LatinArial" w:customStyle="1">
    <w:name w:val="Heading 2 + (Latin) Arial"/>
    <w:aliases w:val="Left,Before:  6 pt,After:  3 pt,Line spacing:  ..."/>
    <w:basedOn w:val="Heading2"/>
    <w:rsid w:val="0065137C"/>
    <w:pPr>
      <w:keepLines w:val="0"/>
      <w:widowControl w:val="0"/>
      <w:numPr>
        <w:ilvl w:val="0"/>
        <w:numId w:val="0"/>
      </w:numPr>
      <w:spacing w:after="60" w:before="120" w:line="240" w:lineRule="atLeast"/>
      <w:ind w:left="576" w:hanging="576"/>
      <w:jc w:val="left"/>
    </w:pPr>
    <w:rPr>
      <w:rFonts w:ascii="Arial" w:cs="Arial" w:hAnsi="Arial"/>
    </w:rPr>
  </w:style>
  <w:style w:type="table" w:styleId="TableGrid">
    <w:name w:val="Table Grid"/>
    <w:basedOn w:val="TableNormal"/>
    <w:rsid w:val="002D6D9C"/>
    <w:pPr>
      <w:spacing w:after="60" w:before="60"/>
      <w:ind w:left="576"/>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60" w:before="60" w:lineRule="auto"/>
      <w:ind w:left="576"/>
      <w:jc w:val="both"/>
    </w:pPr>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ucumber.io/docs/gherkin/reference/"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mPqk4nrmTfZV8V20U5vBhPw7QA==">AMUW2mUR2McNLv/2+jxol50sI5papXHtBDCR0P4Fj6GIkhW/pzdSujkbX+qFBgPrpqz3PZfR1bGKgz9AFbOZ0VHovJAh9VSWQLL6u9xCzw5giduEvmTS/jV2Gn4QehMcoTM06dve9kId0z6z53ZhU+I2TNnnB7EPISu/26eaXypbglIgRw8+uP77uPPdio5aaTaTRZu1CWikpyXxCu+bY+LLsnjtiuW9Glppc/2kNbCEDXTxco6cpuOJmFczo6b+FILz1ANWepSPdDTI1J/e3DCnX+Ru1plH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2017-08-03T08:05:00Z</dcterms:created>
  <dc:creator>Robert Wheeler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