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officeDocument/2006/relationships/styles" Target="word/styles.xml"/>
</Relationships>

</file>

<file path=word/document.xml><?xml version="1.0" encoding="utf-8"?>
<w:document xmlns:w="http://schemas.openxmlformats.org/wordprocessingml/2006/main">
  <w:body>
    <w:p>
      <w:pPr>
        <w:spacing w:before="0" w:after="20" w:line="240" w:lineRule="auto"/>
        <w:rPr>
          <w:sz w:val="32"/>
          <w:szCs w:val="32"/>
        </w:rPr>
      </w:pPr>
      <w:r>
        <w:rPr>
          <w:b/>
          <w:sz w:val="32"/>
          <w:szCs w:val="32"/>
        </w:rPr>
        <w:t xml:space="preserve">DEVAYAN MANDAL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&amp; Open Source Contributor - Open to Remote Work</w:t>
      </w:r>
    </w:p>
    <w:p>
      <w:pPr>
        <w:spacing w:before="0" w:after="16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devayanmandal@gmail.com | linkedin.com/in/dev-ma | github.com/devtechedge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SUMMARY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with 10 years of remote, self-directed production work. Built 30+ production-grade systems across autonomous multi-agent platforms, MCP integrations, deterministic RL evaluation, real-time observability, and high-throughput web applications. Merged 21 upstream pull requests across TypeScript, JavaScript, Python, and Rust in Recharts, pnpm, node-postgres, SQLMesh, Biome, Better Auth, thirdweb, Anza Kit, and Rspress. Specializes in explicit state machines, bounded autonomy, verifiable AI systems, hybrid RAG and memory architectures, streaming infrastructure, and production-grade developer tooling, with end-to-end ownership from architecture through deployment, observability, testing, and upstream delivery.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TECHNICAL SKILLS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Languages: Python, TypeScript, JavaScript, Rust, SQL, R, Bash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AI &amp; Agents: LangGraph, LangChain, LangServe, LangSmith, Model Context Protocol (MCP), multi-agent orchestration, supervisor routing, Reflexion loops, human-in-the-loop gates, hybrid RAG, RLVR environments, deterministic evaluation, prompt engineering, Ollama, Gemini, OpenAI-compatible providers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Frontend: React 19, Next.js 16, TanStack Start/Router/Query, Tailwind v4, Vite, Framer Motion, Expo, Three.js, React Three Fiber, HTML5 Canvas, SVG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Backend &amp; Data: FastAPI, Node.js, Drizzle ORM, Prisma, SQLAlchemy, PostgreSQL (pgvector), Neon, Supabase, SQLite, Pydantic, Zod, Stripe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Realtime &amp; Observability: SSE, WebSockets, Socket.io, replayable traces, OpenTelemetry-shaped tracing, LangSmith evaluation pipelines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Cloud &amp; DevOps: Vercel, AWS, Microsoft Azure, GitHub Actions CI/CD, serverless, scheduled pipelines, Vitest, pytest, Playwright, Biome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Web3 &amp; Blockchain: Solidity, OpenZeppelin, Foundry, viem, wagmi, ethers.js, Safe Protocol Kit, RainbowKit, Reown AppKit, Base L2, blockchain and wallet infrastructure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Practices: Six Sigma DMAIC, bounded autonomy, retrieval-bounded generation, AST-sandboxed grading, cost-aware routing, threat-model documentation, Git, Changesets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PROFESSIONAL EXPERIENCE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LATTICE AI LABS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Full Stack AI Native / Forward Deployed AI Engineer | January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Architected and shipped 30+ production-grade systems across a broad portfolio of public engineering repositories spanning autonomous agents, RL evaluation environments, real-time observability, and high-throughput web applications.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AEGIS, an enterprise AI ops cortex where a LangGraph supervisor routes 6 specialist agents across 7 agentic loops, with hybrid RAG, human-in-the-loop gates, LangSmith evaluation gates, and a live SSE dashboard. Live: aegis-agent-api.vercel.app/ui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Synthesis, an autonomous research platform running cyclic Reflexion workflows (Plan, Research, Synthesize, Critique, Finalize) on a StateGraph executor with HITL approval gates, and AAROP, an inspectable 6-phase reasoning engine with cost-aware model routing, circuit breakers, RAG memory, replayable traces, and 99% Python test coverage. Live: synthesis-gold.vercel.app | aarop.vercel.app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Veritas, a LangGraph research agent with SSE streaming, grounded demo mode, external retrieval when configured, and explicit separation between deterministic demo execution and live model/retrieval execution. Live: veritas-engine-woad.vercel.app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Authored 3 official RLVR environments on the Prime Intellect Environments Hub (calendar-math, meeting-slot, unit-fix) using deterministic UTC sweep-line solvers and AST-sandboxed execution graders, removing LLM-as-judge variance.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Implemented MCP servers and clients across Stdio and StreamableHTTP/SSE transports with client-side sampling and roots-based security boundaries; shipped HoldSlot, a WebMCP implementation for the OpenAI WebMCP Challenge 2026.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Engineered Cadence, a framework-free healthcare agent with 5-layer clinical memory (session, episodic, semantic, knowledge, insights) using Ollama and SQLite, producing consent-scoped clinician briefs. Live: cadence-healthcare.vercel.app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Jobrow, a live US tech job board indexing 5,000+ still-open roles across employer ATS boards (Greenhouse, Ashby, Lever) on TanStack Start, React 19, and Neon Postgres, with a public JSON API, Expo iOS/Android client, and GitHub Actions crawl pipeline running 4x daily. Live: jobrow.vercel.app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Shipped Lattice, a live Web3 job platform for blockchain, crypto, and DeFi roles with same-day close detection from employer ATS boards. Live: lattice-devtechedge1.vercel.app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 real-time chaos engineering platform with self-healing microservices, animated SVG topology, automated fault injection, and sub-second WebSocket telemetry, plus CollabSpace multiplayer whiteboards on Supabase Realtime; wired replayable OTel-shaped traces and LangSmith evaluation pipelines through the agent systems. Live: chaos-simulation.vercel.app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Delivered Pulsar, a Base L2 GPU marketplace with Foundry smart contracts; RegTrace-AI, a MiCA/VARA compliance copilot with source-traced citations and hallucination flags; Smart Waitlist with Stripe-backed referral flows; and AstraMart.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Operate a serverless daily AI news agent on GitHub Actions that pulls six public feeds, dedupes against in-repo memory, summarizes with Gemini, and delivers one Telegram executive brief at zero infrastructure cost.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Work AI-native across the full stack using frontier coding and reasoning models through dedicated development harnesses, with emphasis on rapid iteration, test-driven validation, repository-specific contribution policies, and reproducible upstream delivery.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SPECTRAL QUANTITATIVE TRADING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Crypto Trader &amp; Derivatives Strategist | September 2016 - Present | Remote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Manage diversified proprietary capital across tier-1 exchanges including Binance, Coinbase, Bitget, and MEXC, and on-chain protocols including Hyperliquid, Uniswap v3, Aave, and GMX.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Built and ran automated grid, DCA, and Martingale bots on Pionex and Binance to capture spread and volatility in ranging markets.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Executed delta-neutral basis and funding-rate arbitrage between spot and perpetuals, plus concentrated-liquidity and lending-loop strategies on-chain.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Applied TWAP/VWAP execution on illiquid pairs, with VaR limits, drawdown caps, and Sharpe-ratio optimization governing position sizing and portfolio risk.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CERTIFICATIONS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Model Context Protocol: Advanced Topics - Anthropic, 2026; AI Fluency for Builders - Anthropic (with CodePath), 2026; Agents and Workflows - OpenAI Academy, 2026; Deep Agents with LangGraph - LangChain Academy, 2026; Ambient Agents with LangGraph - LangChain Academy, 2026; Microsoft Certified: Azure Fundamentals (AZ-900) - Microsoft, 2020; AWS Fundamentals Specialization - Amazon Web Services (Coursera), 2020; Data Science Specialization - Johns Hopkins University (Coursera), 2020; Six Sigma Green Belt - Kennesaw State University (Coursera), 2020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EDUCATION</w:t>
      </w:r>
    </w:p>
    <w:p>
      <w:pPr>
        <w:spacing w:before="80" w:after="0" w:line="240" w:lineRule="auto"/>
        <w:rPr>
          <w:sz w:val="20"/>
          <w:szCs w:val="20"/>
        </w:rPr>
      </w:pPr>
      <w:r>
        <w:rPr>
          <w:b/>
          <w:sz w:val="20"/>
          <w:szCs w:val="20"/>
        </w:rPr>
        <w:t xml:space="preserve">UNIVERSITY OF MUMBAI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Bachelor of Engineering (B.E.), Chemical Engineering (First Class) | [Graduation Year]</w:t>
      </w:r>
    </w:p>
    <w:p>
      <w:pPr>
        <w:spacing w:before="0" w:after="4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Quantitative core in process dynamics, transport phenomena, mathematical modeling, and optimization; transitioned into software engineering through computational and systems-oriented work.</w:t>
      </w:r>
    </w:p>
    <w:p>
      <w:pPr>
        <w:spacing w:before="160" w:after="40" w:line="240" w:lineRule="auto"/>
        <w:pBdr>
          <w:bottom w:val="single" w:sz="6" w:space="1" w:color="666666"/>
        </w:pBdr>
        <w:rPr>
          <w:sz w:val="21"/>
          <w:szCs w:val="21"/>
        </w:rPr>
      </w:pPr>
      <w:r>
        <w:rPr>
          <w:b/>
          <w:sz w:val="21"/>
          <w:szCs w:val="21"/>
        </w:rPr>
        <w:t xml:space="preserve">OPEN SOURCE CONTRIBUTIONS</w:t>
      </w:r>
    </w:p>
    <w:p>
      <w:pPr>
        <w:spacing w:before="0" w:after="2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Merged upstream: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leo-aa88/reviewgate #144 (TypeScript) - adds a configurable excessive code-comment verbosity check to the core review engine.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PyO3/maturin #3302 (Rust) - Windows interpreter discovery no longer panics on non-UTF-8 command output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stellar/stellar-docs #2859 (MDX) - added the --enable-core-manual-close flag to the Local section of the Network Modes page.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ssf0409/tracelens #140 (Python) - markdown table cells in the report generator are now escaped with html.escape in addition to pipe and newline.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pytest-dev/pytest-env #262 (Python) - documented that pytest.toml and .pytest.toml accept the native [pytest] env table.</w:t>
      </w:r>
    </w:p>
    <w:p>
      <w:pPr>
        <w:spacing w:before="0" w:after="20" w:line="240" w:lineRule="auto"/>
        <w:ind w:left="180" w:hanging="180"/>
        <w:rPr>
          <w:sz w:val="20"/>
          <w:szCs w:val="20"/>
        </w:rPr>
      </w:pPr>
      <w:r>
        <w:rPr>
          <w:sz w:val="20"/>
          <w:szCs w:val="20"/>
        </w:rPr>
        <w:t xml:space="preserve">• +16 more merged upstream PRs across stellar/stellar-docs, pnpm/pnpm and 8 other repositories.</w:t>
      </w:r>
    </w:p>
    <w:p>
      <w:pPr>
        <w:spacing w:before="40" w:after="0" w:line="240" w:lineRule="auto"/>
        <w:rPr>
          <w:sz w:val="20"/>
          <w:szCs w:val="20"/>
        </w:rPr>
      </w:pPr>
      <w:r>
        <w:rPr>
          <w:sz w:val="20"/>
          <w:szCs w:val="20"/>
        </w:rPr>
        <w:t xml:space="preserve">Active upstream engineering spans AI infrastructure, developer tooling, package management, frameworks, accessibility, concurrency, portability, security, SDKs, wallets, and blockchain infrastructure. Canonical ledger: github.com/devtechedge/oss-contributions</w:t>
      </w:r>
    </w:p>
    <w:sectPr>
      <w:pgSz w:w="12240" w:h="15840"/>
      <w:pgMar w:top="576" w:right="576" w:bottom="576" w:left="576" w:header="432" w:footer="432" w:gutter="0"/>
      <w:cols w:space="720"/>
      <w:docGrid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0"/>
        <w:szCs w:val="20"/>
      </w:rPr>
    </w:rPrDefault>
    <w:pPrDefault>
      <w:pPr>
        <w:spacing w:after="0" w:line="240" w:lineRule="auto"/>
      </w:pPr>
    </w:pPrDefault>
  </w:docDefaults>
</w:styles>
</file>