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officeDocument/2006/relationships/styles" Target="word/styles.xml"/>
</Relationships>

</file>

<file path=word/document.xml><?xml version="1.0" encoding="utf-8"?>
<w:document xmlns:w="http://schemas.openxmlformats.org/wordprocessingml/2006/main">
  <w:body>
    <w:p>
      <w:pPr>
        <w:spacing w:before="0" w:after="40" w:line="240" w:lineRule="auto"/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b/>
          <w:sz w:val="32"/>
          <w:szCs w:val="32"/>
        </w:rPr>
        <w:t xml:space="preserve">DEVAYAN MANDAL</w:t>
      </w:r>
    </w:p>
    <w:p>
      <w:pPr>
        <w:spacing w:before="0" w:after="4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Full Stack AI Native / Forward Deployed AI Engineer &amp; Open Source Contributor - Open to Remote Work</w:t>
      </w:r>
    </w:p>
    <w:p>
      <w:pPr>
        <w:spacing w:before="0" w:after="20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devayanmandal@gmail.com | linkedin.com/in/dev-ma | github.com/devtechedge</w:t>
      </w:r>
    </w:p>
    <w:p>
      <w:pPr>
        <w:spacing w:before="200" w:after="70" w:line="240" w:lineRule="auto"/>
        <w:pBdr>
          <w:bottom w:val="single" w:sz="6" w:space="1" w:color="666666"/>
        </w:pBdr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sz w:val="21"/>
          <w:szCs w:val="21"/>
        </w:rPr>
        <w:t xml:space="preserve">PROFESSIONAL SUMMARY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Forward Deployed AI Engineer with 10 years of self-directed production work and 30+ shipped systems across multi-agent platforms, MCP integrations, deterministic RL evaluation, and real-time infrastructure. Merged 24 upstream pull requests across TypeScript, Python, and Rust in widely used projects including Biome, pnpm, and node-postgres, owning each change from root cause through tests, review, and release.</w:t>
      </w:r>
    </w:p>
    <w:p>
      <w:pPr>
        <w:spacing w:before="200" w:after="70" w:line="240" w:lineRule="auto"/>
        <w:pBdr>
          <w:bottom w:val="single" w:sz="6" w:space="1" w:color="666666"/>
        </w:pBdr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sz w:val="21"/>
          <w:szCs w:val="21"/>
        </w:rPr>
        <w:t xml:space="preserve">TECHNICAL SKILLS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Languages: Python, TypeScript, JavaScript, Rust, SQL, R, Bash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AI &amp; Agents: LangGraph, LangChain, LangServe, LangSmith, Model Context Protocol (MCP), multi-agent orchestration, supervisor routing, Reflexion loops, human-in-the-loop gates, hybrid RAG, RLVR environments, deterministic evaluation, prompt engineering, Ollama, Gemini, OpenAI-compatible providers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Frontend: React 19, Next.js 16, TanStack Start/Router/Query, Tailwind v4, Vite, Framer Motion, Expo, Three.js, React Three Fiber, HTML5 Canvas, SVG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Backend &amp; Data: FastAPI, Node.js, Drizzle ORM, Prisma, SQLAlchemy, PostgreSQL (pgvector), Neon, Supabase, SQLite, Pydantic, Zod, Stripe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Realtime &amp; Observability: SSE, WebSockets, Socket.io, replayable traces, OpenTelemetry-shaped tracing, LangSmith evaluation pipelines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Cloud &amp; DevOps: Vercel, AWS, Microsoft Azure, GitHub Actions CI/CD, serverless, scheduled pipelines, Vitest, pytest, Playwright, Biome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Web3 &amp; Blockchain: Solidity, OpenZeppelin, Foundry, viem, wagmi, ethers.js, Safe Protocol Kit, RainbowKit, Reown AppKit, Base L2, blockchain and wallet infrastructure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Practices: Six Sigma DMAIC, bounded autonomy, retrieval-bounded generation, AST-sandboxed grading, cost-aware routing, threat-model documentation, Git, Changesets</w:t>
      </w:r>
    </w:p>
    <w:p>
      <w:pPr>
        <w:spacing w:before="200" w:after="70" w:line="240" w:lineRule="auto"/>
        <w:pBdr>
          <w:bottom w:val="single" w:sz="6" w:space="1" w:color="666666"/>
        </w:pBdr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sz w:val="21"/>
          <w:szCs w:val="21"/>
        </w:rPr>
        <w:t xml:space="preserve">OPEN SOURCE CONTRIBUTIONS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Merged upstream: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biomejs/biome #11667 (Rust) - ported the unicorn better-dom-traversing rule into Biome's nursery linter; +1,972 lines across 17 files and 7 commits, released to 13 packages via changeset.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pnpm/pnpm #14863 (Rust/TypeScript) - fixed startup crashes on FreeBSD and other non-Windows Unix-like platforms by making default_store_dir use the Unix fallback path; added platform-specific regression coverage.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brianc/node-postgres #3772 (JavaScript) - stopped Connection.sync() from incorrectly setting the internal _ending flag, preventing false suppression of subsequent socket errors; added unit coverage for Sync vs disconnect semantics.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recharts/recharts #7805 (TypeScript) - removed tabIndex={-1} from z-index portal SVG &lt;g&gt; layers.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PyO3/maturin #3302 (Rust) - Windows interpreter discovery no longer panics on non-UTF-8 command output.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SQLMesh/sqlmesh #6040 (Python) - moved ModelTest.create_test() off concurrent worker threads.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pnpm/pnpm #14753 (Rust/TypeScript) - fixed lockfile:false being ignored.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better-auth/better-auth #11208 (TypeScript) - added regression coverage locking the /phone-number/verify OpenAPI.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thirdweb-dev/js #8938 (TypeScript) - fixed useTokenQuery error handling so 401/429/timeout failures rethrow.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anza-xyz/kit #2032 (TypeScript) - restored number predicates in the getPatternMatchCodec advanced guide.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web-infra-dev/rspress #3678 (TypeScript) - fixed a Search initialization race by awaiting FlexSearch addAsync indexing.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pnpm/pnpm #14756 (Rust/TypeScript) - preserved existing dependency range operators and npm:/jsr: protocol prefixes.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+12 more merged upstream PRs across pytest-dev/pytest-env, stellar/stellar-docs and 5 other repositories.</w:t>
      </w:r>
    </w:p>
    <w:p>
      <w:pPr>
        <w:spacing w:before="60" w:after="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Canonical ledger with links to every merged PR: github.com/devtechedge/oss-contributions</w:t>
      </w:r>
    </w:p>
    <w:p>
      <w:pPr>
        <w:spacing w:before="200" w:after="70" w:line="240" w:lineRule="auto"/>
        <w:pBdr>
          <w:bottom w:val="single" w:sz="6" w:space="1" w:color="666666"/>
        </w:pBdr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sz w:val="21"/>
          <w:szCs w:val="21"/>
        </w:rPr>
        <w:t xml:space="preserve">PROFESSIONAL EXPERIENCE</w:t>
      </w:r>
    </w:p>
    <w:p>
      <w:pPr>
        <w:spacing w:before="120" w:after="1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LATTICE AI LABS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Full Stack AI Native / Forward Deployed AI Engineer | January 2016 - Present | Remote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Architected and shipped 30+ production-grade systems spanning autonomous agents, RL evaluation environments, real-time observability, and high-throughput web applications.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Built AEGIS, an enterprise AI ops cortex where a LangGraph supervisor routes 6 specialist agents across 7 agentic loops, with hybrid RAG, human-in-the-loop gates, LangSmith evaluation gates, and a live SSE dashboard. Live: aegis-agent-api.vercel.app/ui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Built Synthesis, an autonomous research platform running cyclic Reflexion workflows with HITL approval gates, and AAROP, an inspectable 6-phase reasoning engine with cost-aware routing, circuit breakers, RAG memory, and replayable traces. Live: synthesis-gold.vercel.app | aarop.vercel.app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Authored 3 official RLVR environments on the Prime Intellect Environments Hub (calendar-math, meeting-slot, unit-fix) using deterministic UTC sweep-line solvers and AST-sandboxed graders, removing LLM-as-judge variance.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Implemented MCP servers and clients across Stdio and StreamableHTTP/SSE transports with client-side sampling and roots-based security boundaries; shipped HoldSlot, a WebMCP implementation for the OpenAI WebMCP Challenge 2026.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Shipped Jobrow, a live US tech job board indexing 5,000+ still-open roles across employer ATS boards (Greenhouse, Ashby, Lever) on TanStack Start, React 19, and Neon Postgres, with an Expo mobile client and a GitHub Actions crawl pipeline running 4x daily. Live: jobrow.vercel.app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Also delivered Veritas (LangGraph research agent), Cadence (healthcare agent with 5-layer clinical memory), a real-time chaos engineering platform with self-healing services and sub-second WebSocket telemetry, Pulsar (Base L2 GPU marketplace on Foundry contracts), and a serverless daily AI news agent on GitHub Actions.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Work AI-native across the full stack using frontier coding and reasoning models, with emphasis on rapid iteration, test-driven validation, repository-specific contribution policies, and reproducible upstream delivery.</w:t>
      </w:r>
    </w:p>
    <w:p>
      <w:pPr>
        <w:spacing w:before="120" w:after="1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SPECTRAL QUANTITATIVE TRADING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Quantitative Crypto Trader &amp; Derivatives Strategist | September 2016 - Present | Remote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Manage diversified proprietary capital across tier-1 exchanges including Binance, Coinbase, Bitget, and MEXC, and on-chain protocols including Hyperliquid, Uniswap v3, Aave, and GMX.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Built and ran automated grid, DCA, and Martingale bots on Pionex and Binance to capture spread and volatility in ranging markets.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Executed delta-neutral basis and funding-rate arbitrage between spot and perpetuals, plus concentrated-liquidity and lending-loop strategies on-chain.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Applied TWAP/VWAP execution on illiquid pairs, with VaR limits, drawdown caps, and Sharpe-ratio optimization governing position sizing and portfolio risk.</w:t>
      </w:r>
    </w:p>
    <w:p>
      <w:pPr>
        <w:spacing w:before="200" w:after="70" w:line="240" w:lineRule="auto"/>
        <w:pBdr>
          <w:bottom w:val="single" w:sz="6" w:space="1" w:color="666666"/>
        </w:pBdr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sz w:val="21"/>
          <w:szCs w:val="21"/>
        </w:rPr>
        <w:t xml:space="preserve">CERTIFICATIONS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Model Context Protocol: Advanced Topics - Anthropic, 2026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AI Fluency for Builders - Anthropic (with CodePath), 2026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Agents and Workflows - OpenAI Academy, 2026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Deep Agents with LangGraph - LangChain Academy, 2026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Ambient Agents with LangGraph - LangChain Academy, 2026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Microsoft Certified: Azure Fundamentals (AZ-900) - Microsoft, 2020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AWS Fundamentals Specialization - Amazon Web Services (Coursera), 2020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Data Science Specialization - Johns Hopkins University (Coursera), 2020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Six Sigma Green Belt - Kennesaw State University (Coursera), 2020</w:t>
      </w:r>
    </w:p>
    <w:p>
      <w:pPr>
        <w:spacing w:before="200" w:after="70" w:line="240" w:lineRule="auto"/>
        <w:pBdr>
          <w:bottom w:val="single" w:sz="6" w:space="1" w:color="666666"/>
        </w:pBdr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sz w:val="21"/>
          <w:szCs w:val="21"/>
        </w:rPr>
        <w:t xml:space="preserve">EDUCATION</w:t>
      </w:r>
    </w:p>
    <w:p>
      <w:pPr>
        <w:spacing w:before="120" w:after="1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UNIVERSITY OF MUMBAI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Bachelor of Engineering (B.E.), Chemical Engineering (First Class) | [Graduation Year]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Quantitative core in process dynamics, transport phenomena, mathematical modeling, and optimization; transitioned into software engineering through computational and systems-oriented work.</w:t>
      </w:r>
    </w:p>
    <w:sectPr>
      <w:pgSz w:w="12240" w:h="15840"/>
      <w:pgMar w:top="576" w:right="576" w:bottom="576" w:left="576" w:header="432" w:footer="432" w:gutter="0"/>
      <w:cols w:space="720"/>
      <w:docGrid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0"/>
        <w:szCs w:val="20"/>
      </w:rPr>
    </w:rPrDefault>
    <w:pPrDefault>
      <w:pPr>
        <w:spacing w:after="0" w:line="240" w:lineRule="auto"/>
      </w:pPr>
    </w:pPrDefault>
  </w:docDefaults>
</w:styles>
</file>