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NIZAMI DELIGHTS – SAP SD</w:t>
      </w:r>
    </w:p>
    <w:p>
      <w:pPr>
        <w:jc w:val="center"/>
      </w:pPr>
      <w:r>
        <w:rPr>
          <w:b/>
          <w:sz w:val="30"/>
        </w:rPr>
        <w:t>Week 1 – Master Data Requirements Analysis</w:t>
      </w:r>
    </w:p>
    <w:p>
      <w:pPr>
        <w:jc w:val="center"/>
      </w:pPr>
      <w:r>
        <w:t>Junior SAP SD Consultant Internship | SAP S/4HANA</w:t>
      </w:r>
    </w:p>
    <w:p>
      <w:pPr>
        <w:pStyle w:val="Heading1"/>
      </w:pPr>
      <w:r>
        <w:t>1. Purpose</w:t>
      </w:r>
    </w:p>
    <w:p>
      <w:r>
        <w:t>This document identifies the master data required to support the planned SAP Sales and Distribution processes for Nizami Delights, a simulated food and confectionery organization. The analysis establishes what data is needed, why it is required, which SAP object is involved, and the business area responsible for maintaining it.</w:t>
      </w:r>
    </w:p>
    <w:p>
      <w:pPr>
        <w:pStyle w:val="Heading1"/>
      </w:pPr>
      <w:r>
        <w:t>2. Master Data Overview</w:t>
      </w:r>
    </w:p>
    <w:p>
      <w:r>
        <w:t>The core SAP SD master-data foundation consists of Business Partner/customer data, material data, customer-material information, pricing condition records, and output/communication information. Accurate master data is essential because transactional documents such as sales orders, deliveries and billing documents use this information for determination and processing.</w:t>
      </w:r>
    </w:p>
    <w:p>
      <w:pPr>
        <w:pStyle w:val="Heading1"/>
      </w:pPr>
      <w:r>
        <w:t>3. Business Partner / Customer Master</w:t>
      </w:r>
    </w:p>
    <w:p>
      <w:r>
        <w:t>In SAP S/4HANA, customer master functions are integrated with the Business Partner approach. Nizami Delights should maintain customers with appropriate general, company-code and sales-area information.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Data Area</w:t>
            </w:r>
          </w:p>
        </w:tc>
        <w:tc>
          <w:tcPr>
            <w:tcW w:type="dxa" w:w="2484"/>
          </w:tcPr>
          <w:p>
            <w:r>
              <w:t>Typical Requirement</w:t>
            </w:r>
          </w:p>
        </w:tc>
        <w:tc>
          <w:tcPr>
            <w:tcW w:type="dxa" w:w="2484"/>
          </w:tcPr>
          <w:p>
            <w:r>
              <w:t>Business Purpose</w:t>
            </w:r>
          </w:p>
        </w:tc>
        <w:tc>
          <w:tcPr>
            <w:tcW w:type="dxa" w:w="2484"/>
          </w:tcPr>
          <w:p>
            <w:r>
              <w:t>Owner</w:t>
            </w:r>
          </w:p>
        </w:tc>
      </w:tr>
      <w:tr>
        <w:tc>
          <w:tcPr>
            <w:tcW w:type="dxa" w:w="2484"/>
          </w:tcPr>
          <w:p>
            <w:r>
              <w:t>General Data</w:t>
            </w:r>
          </w:p>
        </w:tc>
        <w:tc>
          <w:tcPr>
            <w:tcW w:type="dxa" w:w="2484"/>
          </w:tcPr>
          <w:p>
            <w:r>
              <w:t>Name, address, communication, tax-related information</w:t>
            </w:r>
          </w:p>
        </w:tc>
        <w:tc>
          <w:tcPr>
            <w:tcW w:type="dxa" w:w="2484"/>
          </w:tcPr>
          <w:p>
            <w:r>
              <w:t>Identifies and communicates with customer</w:t>
            </w:r>
          </w:p>
        </w:tc>
        <w:tc>
          <w:tcPr>
            <w:tcW w:type="dxa" w:w="2484"/>
          </w:tcPr>
          <w:p>
            <w:r>
              <w:t>Customer Master / Business Team</w:t>
            </w:r>
          </w:p>
        </w:tc>
      </w:tr>
      <w:tr>
        <w:tc>
          <w:tcPr>
            <w:tcW w:type="dxa" w:w="2484"/>
          </w:tcPr>
          <w:p>
            <w:r>
              <w:t>Company Code Data</w:t>
            </w:r>
          </w:p>
        </w:tc>
        <w:tc>
          <w:tcPr>
            <w:tcW w:type="dxa" w:w="2484"/>
          </w:tcPr>
          <w:p>
            <w:r>
              <w:t>Reconciliation account, payment terms, dunning-related data</w:t>
            </w:r>
          </w:p>
        </w:tc>
        <w:tc>
          <w:tcPr>
            <w:tcW w:type="dxa" w:w="2484"/>
          </w:tcPr>
          <w:p>
            <w:r>
              <w:t>Supports accounting and receivables</w:t>
            </w:r>
          </w:p>
        </w:tc>
        <w:tc>
          <w:tcPr>
            <w:tcW w:type="dxa" w:w="2484"/>
          </w:tcPr>
          <w:p>
            <w:r>
              <w:t>Finance</w:t>
            </w:r>
          </w:p>
        </w:tc>
      </w:tr>
      <w:tr>
        <w:tc>
          <w:tcPr>
            <w:tcW w:type="dxa" w:w="2484"/>
          </w:tcPr>
          <w:p>
            <w:r>
              <w:t>Sales Area Data</w:t>
            </w:r>
          </w:p>
        </w:tc>
        <w:tc>
          <w:tcPr>
            <w:tcW w:type="dxa" w:w="2484"/>
          </w:tcPr>
          <w:p>
            <w:r>
              <w:t>Sales office/group, customer pricing data, shipping/billing settings</w:t>
            </w:r>
          </w:p>
        </w:tc>
        <w:tc>
          <w:tcPr>
            <w:tcW w:type="dxa" w:w="2484"/>
          </w:tcPr>
          <w:p>
            <w:r>
              <w:t>Supports SD processing and determination</w:t>
            </w:r>
          </w:p>
        </w:tc>
        <w:tc>
          <w:tcPr>
            <w:tcW w:type="dxa" w:w="2484"/>
          </w:tcPr>
          <w:p>
            <w:r>
              <w:t>Sales / SD</w:t>
            </w:r>
          </w:p>
        </w:tc>
      </w:tr>
      <w:tr>
        <w:tc>
          <w:tcPr>
            <w:tcW w:type="dxa" w:w="2484"/>
          </w:tcPr>
          <w:p>
            <w:r>
              <w:t>Partner Functions</w:t>
            </w:r>
          </w:p>
        </w:tc>
        <w:tc>
          <w:tcPr>
            <w:tcW w:type="dxa" w:w="2484"/>
          </w:tcPr>
          <w:p>
            <w:r>
              <w:t>Sold-to, Ship-to, Bill-to, Payer relationships</w:t>
            </w:r>
          </w:p>
        </w:tc>
        <w:tc>
          <w:tcPr>
            <w:tcW w:type="dxa" w:w="2484"/>
          </w:tcPr>
          <w:p>
            <w:r>
              <w:t>Controls business partner roles in sales documents</w:t>
            </w:r>
          </w:p>
        </w:tc>
        <w:tc>
          <w:tcPr>
            <w:tcW w:type="dxa" w:w="2484"/>
          </w:tcPr>
          <w:p>
            <w:r>
              <w:t>Sales / SD</w:t>
            </w:r>
          </w:p>
        </w:tc>
      </w:tr>
    </w:tbl>
    <w:p>
      <w:pPr>
        <w:pStyle w:val="Heading1"/>
      </w:pPr>
      <w:r>
        <w:t>4. Material Master</w:t>
      </w:r>
    </w:p>
    <w:p>
      <w:r>
        <w:t>Material master data defines the products sold by Nizami Delights and provides information required across sales, inventory, delivery and billing-related processes. Examples include sweets, bakery products, snacks and packaged food products.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Data Area</w:t>
            </w:r>
          </w:p>
        </w:tc>
        <w:tc>
          <w:tcPr>
            <w:tcW w:type="dxa" w:w="2484"/>
          </w:tcPr>
          <w:p>
            <w:r>
              <w:t>Requirement</w:t>
            </w:r>
          </w:p>
        </w:tc>
        <w:tc>
          <w:tcPr>
            <w:tcW w:type="dxa" w:w="2484"/>
          </w:tcPr>
          <w:p>
            <w:r>
              <w:t>Business Purpose</w:t>
            </w:r>
          </w:p>
        </w:tc>
        <w:tc>
          <w:tcPr>
            <w:tcW w:type="dxa" w:w="2484"/>
          </w:tcPr>
          <w:p>
            <w:r>
              <w:t>Owner</w:t>
            </w:r>
          </w:p>
        </w:tc>
      </w:tr>
      <w:tr>
        <w:tc>
          <w:tcPr>
            <w:tcW w:type="dxa" w:w="2484"/>
          </w:tcPr>
          <w:p>
            <w:r>
              <w:t>Basic Data</w:t>
            </w:r>
          </w:p>
        </w:tc>
        <w:tc>
          <w:tcPr>
            <w:tcW w:type="dxa" w:w="2484"/>
          </w:tcPr>
          <w:p>
            <w:r>
              <w:t>Material description, base unit of measure, product attributes</w:t>
            </w:r>
          </w:p>
        </w:tc>
        <w:tc>
          <w:tcPr>
            <w:tcW w:type="dxa" w:w="2484"/>
          </w:tcPr>
          <w:p>
            <w:r>
              <w:t>Identifies the product consistently</w:t>
            </w:r>
          </w:p>
        </w:tc>
        <w:tc>
          <w:tcPr>
            <w:tcW w:type="dxa" w:w="2484"/>
          </w:tcPr>
          <w:p>
            <w:r>
              <w:t>Master Data</w:t>
            </w:r>
          </w:p>
        </w:tc>
      </w:tr>
      <w:tr>
        <w:tc>
          <w:tcPr>
            <w:tcW w:type="dxa" w:w="2484"/>
          </w:tcPr>
          <w:p>
            <w:r>
              <w:t>Sales Data</w:t>
            </w:r>
          </w:p>
        </w:tc>
        <w:tc>
          <w:tcPr>
            <w:tcW w:type="dxa" w:w="2484"/>
          </w:tcPr>
          <w:p>
            <w:r>
              <w:t>Sales organization/distribution channel views and relevant sales settings</w:t>
            </w:r>
          </w:p>
        </w:tc>
        <w:tc>
          <w:tcPr>
            <w:tcW w:type="dxa" w:w="2484"/>
          </w:tcPr>
          <w:p>
            <w:r>
              <w:t>Enables sales processing</w:t>
            </w:r>
          </w:p>
        </w:tc>
        <w:tc>
          <w:tcPr>
            <w:tcW w:type="dxa" w:w="2484"/>
          </w:tcPr>
          <w:p>
            <w:r>
              <w:t>SD</w:t>
            </w:r>
          </w:p>
        </w:tc>
      </w:tr>
      <w:tr>
        <w:tc>
          <w:tcPr>
            <w:tcW w:type="dxa" w:w="2484"/>
          </w:tcPr>
          <w:p>
            <w:r>
              <w:t>Plant / Shipping Data</w:t>
            </w:r>
          </w:p>
        </w:tc>
        <w:tc>
          <w:tcPr>
            <w:tcW w:type="dxa" w:w="2484"/>
          </w:tcPr>
          <w:p>
            <w:r>
              <w:t>Plant, loading/shipping-relevant information</w:t>
            </w:r>
          </w:p>
        </w:tc>
        <w:tc>
          <w:tcPr>
            <w:tcW w:type="dxa" w:w="2484"/>
          </w:tcPr>
          <w:p>
            <w:r>
              <w:t>Supports delivery and logistics</w:t>
            </w:r>
          </w:p>
        </w:tc>
        <w:tc>
          <w:tcPr>
            <w:tcW w:type="dxa" w:w="2484"/>
          </w:tcPr>
          <w:p>
            <w:r>
              <w:t>MM / Warehouse</w:t>
            </w:r>
          </w:p>
        </w:tc>
      </w:tr>
      <w:tr>
        <w:tc>
          <w:tcPr>
            <w:tcW w:type="dxa" w:w="2484"/>
          </w:tcPr>
          <w:p>
            <w:r>
              <w:t>Accounting Data</w:t>
            </w:r>
          </w:p>
        </w:tc>
        <w:tc>
          <w:tcPr>
            <w:tcW w:type="dxa" w:w="2484"/>
          </w:tcPr>
          <w:p>
            <w:r>
              <w:t>Valuation and accounting-related settings</w:t>
            </w:r>
          </w:p>
        </w:tc>
        <w:tc>
          <w:tcPr>
            <w:tcW w:type="dxa" w:w="2484"/>
          </w:tcPr>
          <w:p>
            <w:r>
              <w:t>Supports inventory and financial integration</w:t>
            </w:r>
          </w:p>
        </w:tc>
        <w:tc>
          <w:tcPr>
            <w:tcW w:type="dxa" w:w="2484"/>
          </w:tcPr>
          <w:p>
            <w:r>
              <w:t>Finance / MM</w:t>
            </w:r>
          </w:p>
        </w:tc>
      </w:tr>
      <w:tr>
        <w:tc>
          <w:tcPr>
            <w:tcW w:type="dxa" w:w="2484"/>
          </w:tcPr>
          <w:p>
            <w:r>
              <w:t>MRP / Availability Data</w:t>
            </w:r>
          </w:p>
        </w:tc>
        <w:tc>
          <w:tcPr>
            <w:tcW w:type="dxa" w:w="2484"/>
          </w:tcPr>
          <w:p>
            <w:r>
              <w:t>Planning and availability-relevant settings</w:t>
            </w:r>
          </w:p>
        </w:tc>
        <w:tc>
          <w:tcPr>
            <w:tcW w:type="dxa" w:w="2484"/>
          </w:tcPr>
          <w:p>
            <w:r>
              <w:t>Supports supply and availability processes</w:t>
            </w:r>
          </w:p>
        </w:tc>
        <w:tc>
          <w:tcPr>
            <w:tcW w:type="dxa" w:w="2484"/>
          </w:tcPr>
          <w:p>
            <w:r>
              <w:t>MM / Planning</w:t>
            </w:r>
          </w:p>
        </w:tc>
      </w:tr>
    </w:tbl>
    <w:p>
      <w:pPr>
        <w:pStyle w:val="Heading1"/>
      </w:pPr>
      <w:r>
        <w:t>5. Customer-Material Information</w:t>
      </w:r>
    </w:p>
    <w:p>
      <w:r>
        <w:t>Customer-material information can be maintained when a customer uses its own material number, description, unit or customer-specific reference. This can help sales users identify the customer's product reference during order entry.</w:t>
      </w:r>
    </w:p>
    <w:p>
      <w:pPr>
        <w:pStyle w:val="Heading1"/>
      </w:pPr>
      <w:r>
        <w:t>6. Pricing Condition Master</w:t>
      </w:r>
    </w:p>
    <w:p>
      <w:r>
        <w:t>Pricing master data supports automatic price determination in sales documents. For the simulated organization, pricing may include base price, customer or material discounts, promotional discounts, freight or other applicable charges, and taxes according to business requirements. Validity periods and organizational keys should be controlled.</w:t>
      </w:r>
    </w:p>
    <w:tbl>
      <w:tblPr>
        <w:tblStyle w:val="TableGrid"/>
        <w:tblW w:type="auto" w:w="0"/>
        <w:tblLook w:firstColumn="1" w:firstRow="1" w:lastColumn="0" w:lastRow="0" w:noHBand="0" w:noVBand="1" w:val="04A0"/>
      </w:tblPr>
      <w:tblGrid>
        <w:gridCol w:w="3312"/>
        <w:gridCol w:w="3312"/>
        <w:gridCol w:w="3312"/>
      </w:tblGrid>
      <w:tr>
        <w:tc>
          <w:tcPr>
            <w:tcW w:type="dxa" w:w="3312"/>
          </w:tcPr>
          <w:p>
            <w:r>
              <w:t>Pricing Requirement</w:t>
            </w:r>
          </w:p>
        </w:tc>
        <w:tc>
          <w:tcPr>
            <w:tcW w:type="dxa" w:w="3312"/>
          </w:tcPr>
          <w:p>
            <w:r>
              <w:t>Example</w:t>
            </w:r>
          </w:p>
        </w:tc>
        <w:tc>
          <w:tcPr>
            <w:tcW w:type="dxa" w:w="3312"/>
          </w:tcPr>
          <w:p>
            <w:r>
              <w:t>Control</w:t>
            </w:r>
          </w:p>
        </w:tc>
      </w:tr>
      <w:tr>
        <w:tc>
          <w:tcPr>
            <w:tcW w:type="dxa" w:w="3312"/>
          </w:tcPr>
          <w:p>
            <w:r>
              <w:t>Base Price</w:t>
            </w:r>
          </w:p>
        </w:tc>
        <w:tc>
          <w:tcPr>
            <w:tcW w:type="dxa" w:w="3312"/>
          </w:tcPr>
          <w:p>
            <w:r>
              <w:t>Standard selling price for a product</w:t>
            </w:r>
          </w:p>
        </w:tc>
        <w:tc>
          <w:tcPr>
            <w:tcW w:type="dxa" w:w="3312"/>
          </w:tcPr>
          <w:p>
            <w:r>
              <w:t>Validity period and sales area</w:t>
            </w:r>
          </w:p>
        </w:tc>
      </w:tr>
      <w:tr>
        <w:tc>
          <w:tcPr>
            <w:tcW w:type="dxa" w:w="3312"/>
          </w:tcPr>
          <w:p>
            <w:r>
              <w:t>Customer Discount</w:t>
            </w:r>
          </w:p>
        </w:tc>
        <w:tc>
          <w:tcPr>
            <w:tcW w:type="dxa" w:w="3312"/>
          </w:tcPr>
          <w:p>
            <w:r>
              <w:t>Discount for an eligible customer/customer group</w:t>
            </w:r>
          </w:p>
        </w:tc>
        <w:tc>
          <w:tcPr>
            <w:tcW w:type="dxa" w:w="3312"/>
          </w:tcPr>
          <w:p>
            <w:r>
              <w:t>Approval and validity</w:t>
            </w:r>
          </w:p>
        </w:tc>
      </w:tr>
      <w:tr>
        <w:tc>
          <w:tcPr>
            <w:tcW w:type="dxa" w:w="3312"/>
          </w:tcPr>
          <w:p>
            <w:r>
              <w:t>Material/Product Discount</w:t>
            </w:r>
          </w:p>
        </w:tc>
        <w:tc>
          <w:tcPr>
            <w:tcW w:type="dxa" w:w="3312"/>
          </w:tcPr>
          <w:p>
            <w:r>
              <w:t>Promotion for selected products</w:t>
            </w:r>
          </w:p>
        </w:tc>
        <w:tc>
          <w:tcPr>
            <w:tcW w:type="dxa" w:w="3312"/>
          </w:tcPr>
          <w:p>
            <w:r>
              <w:t>Product and validity</w:t>
            </w:r>
          </w:p>
        </w:tc>
      </w:tr>
      <w:tr>
        <w:tc>
          <w:tcPr>
            <w:tcW w:type="dxa" w:w="3312"/>
          </w:tcPr>
          <w:p>
            <w:r>
              <w:t>Freight/Charges</w:t>
            </w:r>
          </w:p>
        </w:tc>
        <w:tc>
          <w:tcPr>
            <w:tcW w:type="dxa" w:w="3312"/>
          </w:tcPr>
          <w:p>
            <w:r>
              <w:t>Applicable delivery-related charge</w:t>
            </w:r>
          </w:p>
        </w:tc>
        <w:tc>
          <w:tcPr>
            <w:tcW w:type="dxa" w:w="3312"/>
          </w:tcPr>
          <w:p>
            <w:r>
              <w:t>Business rule</w:t>
            </w:r>
          </w:p>
        </w:tc>
      </w:tr>
      <w:tr>
        <w:tc>
          <w:tcPr>
            <w:tcW w:type="dxa" w:w="3312"/>
          </w:tcPr>
          <w:p>
            <w:r>
              <w:t>Tax</w:t>
            </w:r>
          </w:p>
        </w:tc>
        <w:tc>
          <w:tcPr>
            <w:tcW w:type="dxa" w:w="3312"/>
          </w:tcPr>
          <w:p>
            <w:r>
              <w:t>Applicable tax determination</w:t>
            </w:r>
          </w:p>
        </w:tc>
        <w:tc>
          <w:tcPr>
            <w:tcW w:type="dxa" w:w="3312"/>
          </w:tcPr>
          <w:p>
            <w:r>
              <w:t>Tax classification and jurisdiction/business rules</w:t>
            </w:r>
          </w:p>
        </w:tc>
      </w:tr>
    </w:tbl>
    <w:p>
      <w:pPr>
        <w:pStyle w:val="Heading1"/>
      </w:pPr>
      <w:r>
        <w:t>7. Output and Communication Data</w:t>
      </w:r>
    </w:p>
    <w:p>
      <w:r>
        <w:t>Output-related data determines how relevant business documents or messages are communicated to customers and internal teams. Requirements may include customer email/address details and output settings for documents such as order confirmations, delivery documents and invoices, according to the final business design.</w:t>
      </w:r>
    </w:p>
    <w:p>
      <w:pPr>
        <w:pStyle w:val="Heading1"/>
      </w:pPr>
      <w:r>
        <w:t>8. Master Data Governance</w:t>
      </w:r>
    </w:p>
    <w:p>
      <w:pPr>
        <w:pStyle w:val="ListBullet"/>
      </w:pPr>
      <w:r>
        <w:t>Use consistent naming and numbering conventions.</w:t>
      </w:r>
    </w:p>
    <w:p>
      <w:pPr>
        <w:pStyle w:val="ListBullet"/>
      </w:pPr>
      <w:r>
        <w:t>Validate mandatory fields before releasing master data for business use.</w:t>
      </w:r>
    </w:p>
    <w:p>
      <w:pPr>
        <w:pStyle w:val="ListBullet"/>
      </w:pPr>
      <w:r>
        <w:t>Avoid duplicate Business Partners and materials.</w:t>
      </w:r>
    </w:p>
    <w:p>
      <w:pPr>
        <w:pStyle w:val="ListBullet"/>
      </w:pPr>
      <w:r>
        <w:t>Define ownership and approval responsibilities.</w:t>
      </w:r>
    </w:p>
    <w:p>
      <w:pPr>
        <w:pStyle w:val="ListBullet"/>
      </w:pPr>
      <w:r>
        <w:t>Maintain validity dates for time-dependent pricing records.</w:t>
      </w:r>
    </w:p>
    <w:p>
      <w:pPr>
        <w:pStyle w:val="ListBullet"/>
      </w:pPr>
      <w:r>
        <w:t>Review master data periodically for accuracy and completeness.</w:t>
      </w:r>
    </w:p>
    <w:p>
      <w:pPr>
        <w:pStyle w:val="ListBullet"/>
      </w:pPr>
      <w:r>
        <w:t>Protect sensitive customer information through appropriate authorization and access controls.</w:t>
      </w:r>
    </w:p>
    <w:p>
      <w:pPr>
        <w:pStyle w:val="Heading1"/>
      </w:pPr>
      <w:r>
        <w:t>9. Master Data Dependencies</w:t>
      </w:r>
    </w:p>
    <w:p>
      <w:r>
        <w:rPr>
          <w:b/>
        </w:rPr>
        <w:t>Business Partner → Sales Area Data → Sales Order</w:t>
        <w:br/>
      </w:r>
      <w:r>
        <w:rPr>
          <w:b/>
        </w:rPr>
        <w:t>Material Master → Sales/Plant Data → Sales Order &amp; Delivery</w:t>
        <w:br/>
      </w:r>
      <w:r>
        <w:rPr>
          <w:b/>
        </w:rPr>
        <w:t>Pricing Conditions → Pricing Procedure → Sales Order / Billing</w:t>
        <w:br/>
      </w:r>
      <w:r>
        <w:rPr>
          <w:b/>
        </w:rPr>
        <w:t>Customer-Material Information → Customer-specific Product Reference → Sales Order</w:t>
        <w:br/>
      </w:r>
      <w:r>
        <w:rPr>
          <w:b/>
        </w:rPr>
        <w:t>Output/Communication Data → Document Output → Customer/Internal Communication</w:t>
      </w:r>
    </w:p>
    <w:p>
      <w:pPr>
        <w:pStyle w:val="Heading1"/>
      </w:pPr>
      <w:r>
        <w:t>10. Potential Challenges</w:t>
      </w:r>
    </w:p>
    <w:p>
      <w:pPr>
        <w:pStyle w:val="ListBullet"/>
      </w:pPr>
      <w:r>
        <w:t>Duplicate or incomplete customer records can cause transaction and determination issues.</w:t>
      </w:r>
    </w:p>
    <w:p>
      <w:pPr>
        <w:pStyle w:val="ListBullet"/>
      </w:pPr>
      <w:r>
        <w:t>Incorrect material sales or plant data can affect order and delivery processing.</w:t>
      </w:r>
    </w:p>
    <w:p>
      <w:pPr>
        <w:pStyle w:val="ListBullet"/>
      </w:pPr>
      <w:r>
        <w:t>Missing or expired pricing conditions can result in incorrect pricing.</w:t>
      </w:r>
    </w:p>
    <w:p>
      <w:pPr>
        <w:pStyle w:val="ListBullet"/>
      </w:pPr>
      <w:r>
        <w:t>Incorrect customer partner functions can send documents or goods to the wrong business partner.</w:t>
      </w:r>
    </w:p>
    <w:p>
      <w:pPr>
        <w:pStyle w:val="ListBullet"/>
      </w:pPr>
      <w:r>
        <w:t>Poor master-data governance can create inconsistent reporting and operational problems.</w:t>
      </w:r>
    </w:p>
    <w:p>
      <w:pPr>
        <w:pStyle w:val="Heading1"/>
      </w:pPr>
      <w:r>
        <w:t>11. Recommended Strategy</w:t>
      </w:r>
    </w:p>
    <w:p>
      <w:r>
        <w:t>Nizami Delights should establish clear master-data ownership before transactional configuration begins. Mandatory fields should be defined for each object, approval should be assigned to the appropriate business function, and master data should be validated through representative test cases. Pricing should be maintained with controlled validity periods, while customer and material records should be checked for duplicates and completeness.</w:t>
      </w:r>
    </w:p>
    <w:p>
      <w:pPr>
        <w:pStyle w:val="Heading1"/>
      </w:pPr>
      <w:r>
        <w:t>12. Week 1 Assumptions</w:t>
      </w:r>
    </w:p>
    <w:p>
      <w:r>
        <w:t>Nizami Delights is a simulated organization created for internship learning. The exact organizational units, customer volumes, material numbers, pricing values and tax requirements will be finalized during later design and configuration activities. This document describes requirements and planned master-data structure rather than claiming that all master data has already been configured.</w:t>
      </w:r>
    </w:p>
    <w:p>
      <w:pPr>
        <w:pStyle w:val="Heading1"/>
      </w:pPr>
      <w:r>
        <w:t>13. Conclusion</w:t>
      </w:r>
    </w:p>
    <w:p>
      <w:r>
        <w:t>The master-data analysis provides the foundation for the Nizami Delights SAP SD sales cycle. Reliable Business Partner, material, customer-material, pricing and output data will support accurate sales order processing, availability checks, delivery execution and billing. The identified governance controls will also help reduce errors during future testing and implementation phases.</w:t>
      </w:r>
    </w:p>
    <w:p>
      <w:pPr>
        <w:pStyle w:val="Heading1"/>
      </w:pPr>
      <w:r>
        <w:t>14. Reference Note</w:t>
      </w:r>
    </w:p>
    <w:p>
      <w:r>
        <w:t>SAP terminology and standard master-data concepts are based on publicly available SAP learning and product documentation. Nizami Delights data and assumptions are simulated for this internship project.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Nizami Delights | SAP SD Internship | Week 1 Master Data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