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charts/_rels/chart9.xml.rels" ContentType="application/vnd.openxmlformats-package.relationships+xml"/>
  <Override PartName="/word/charts/_rels/chart11.xml.rels" ContentType="application/vnd.openxmlformats-package.relationships+xml"/>
  <Override PartName="/word/charts/_rels/chart7.xml.rels" ContentType="application/vnd.openxmlformats-package.relationships+xml"/>
  <Override PartName="/word/charts/_rels/chart6.xml.rels" ContentType="application/vnd.openxmlformats-package.relationships+xml"/>
  <Override PartName="/word/charts/_rels/chart5.xml.rels" ContentType="application/vnd.openxmlformats-package.relationships+xml"/>
  <Override PartName="/word/charts/_rels/chart4.xml.rels" ContentType="application/vnd.openxmlformats-package.relationships+xml"/>
  <Override PartName="/word/charts/_rels/chart3.xml.rels" ContentType="application/vnd.openxmlformats-package.relationships+xml"/>
  <Override PartName="/word/charts/_rels/chart2.xml.rels" ContentType="application/vnd.openxmlformats-package.relationships+xml"/>
  <Override PartName="/word/charts/_rels/chart1.xml.rels" ContentType="application/vnd.openxmlformats-package.relationship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10.xml" ContentType="application/vnd.openxmlformats-officedocument.drawingml.chart+xml"/>
  <Override PartName="/word/charts/chart6.xml" ContentType="application/vnd.openxmlformats-officedocument.drawingml.chart+xml"/>
  <Override PartName="/word/charts/chart11.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embeddings/Planilha_do_Microsoft_Excel3.xlsx" ContentType="application/vnd.openxmlformats-officedocument.spreadsheetml.sheet"/>
  <Override PartName="/word/embeddings/Planilha_do_Microsoft_Excel9.xlsx" ContentType="application/vnd.openxmlformats-officedocument.spreadsheetml.sheet"/>
  <Override PartName="/word/embeddings/Planilha_do_Microsoft_Excel2.xlsx" ContentType="application/vnd.openxmlformats-officedocument.spreadsheetml.sheet"/>
  <Override PartName="/word/embeddings/Planilha_do_Microsoft_Excel6.xlsx" ContentType="application/vnd.openxmlformats-officedocument.spreadsheetml.sheet"/>
  <Override PartName="/word/embeddings/Planilha_do_Microsoft_Excel1.xlsx" ContentType="application/vnd.openxmlformats-officedocument.spreadsheetml.sheet"/>
  <Override PartName="/word/embeddings/Planilha_do_Microsoft_Excel8.xlsx" ContentType="application/vnd.openxmlformats-officedocument.spreadsheetml.sheet"/>
  <Override PartName="/word/embeddings/Planilha_do_Microsoft_Excel5.xlsx" ContentType="application/vnd.openxmlformats-officedocument.spreadsheetml.sheet"/>
  <Override PartName="/word/embeddings/Planilha_do_Microsoft_Excel4.xlsx" ContentType="application/vnd.openxmlformats-officedocument.spreadsheetml.sheet"/>
  <Override PartName="/word/embeddings/Planilha_do_Microsoft_Excel7.xlsx" ContentType="application/vnd.openxmlformats-officedocument.spreadsheetml.sheet"/>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nt6"/>
        <w:spacing w:lineRule="auto" w:line="276" w:before="280" w:after="280"/>
        <w:ind w:left="-567"/>
        <w:rPr>
          <w:rFonts w:ascii="Times New Roman" w:hAnsi="Times New Roman" w:eastAsia="Calibri" w:cs="Times New Roman"/>
          <w:sz w:val="24"/>
          <w:szCs w:val="24"/>
          <w:u w:val="single"/>
        </w:rPr>
      </w:pPr>
      <w:r>
        <w:rPr>
          <w:rFonts w:cs="Times New Roman" w:ascii="Times New Roman" w:hAnsi="Times New Roman"/>
          <w:sz w:val="24"/>
          <w:szCs w:val="24"/>
        </w:rPr>
        <w:t>Pwd</w:t>
      </w:r>
    </w:p>
    <w:p>
      <w:pPr>
        <w:pStyle w:val="font6"/>
        <w:spacing w:lineRule="auto" w:line="276" w:before="280" w:after="280"/>
        <w:ind w:left="-567"/>
        <w:rPr>
          <w:rFonts w:ascii="Times New Roman" w:hAnsi="Times New Roman" w:eastAsia="Calibri" w:cs="Times New Roman"/>
          <w:sz w:val="24"/>
          <w:szCs w:val="24"/>
          <w:u w:val="single"/>
        </w:rPr>
      </w:pPr>
      <w:r>
        <w:rPr>
          <w:rFonts w:cs="Times New Roman" w:ascii="Times New Roman" w:hAnsi="Times New Roman"/>
          <w:sz w:val="24"/>
          <w:szCs w:val="24"/>
        </w:rPr>
        <w:t xml:space="preserve">     </w:t>
      </w:r>
      <w:r>
        <w:rPr>
          <w:rFonts w:cs="Times New Roman" w:ascii="Times New Roman" w:hAnsi="Times New Roman"/>
          <w:sz w:val="24"/>
          <w:szCs w:val="24"/>
        </w:rPr>
        <w:t xml:space="preserve">5.1 </w:t>
      </w:r>
      <w:r>
        <w:rPr>
          <w:rFonts w:eastAsia="Calibri" w:cs="Times New Roman" w:ascii="Times New Roman" w:hAnsi="Times New Roman"/>
          <w:sz w:val="24"/>
          <w:szCs w:val="24"/>
          <w:u w:val="single"/>
        </w:rPr>
        <w:t>Dados Estatísticos</w:t>
      </w:r>
    </w:p>
    <w:p>
      <w:pPr>
        <w:pStyle w:val="Normal"/>
        <w:spacing w:lineRule="auto" w:line="240" w:before="0" w:after="0"/>
        <w:ind w:left="-284"/>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bCs/>
          <w:sz w:val="24"/>
          <w:szCs w:val="24"/>
          <w:lang w:val="pt-BR" w:eastAsia="pt-PT"/>
        </w:rPr>
        <w:t xml:space="preserve">Tabela </w:t>
      </w:r>
      <w:r>
        <w:rPr>
          <w:rFonts w:cs="Times New Roman" w:ascii="Times New Roman" w:hAnsi="Times New Roman"/>
          <w:b/>
          <w:sz w:val="24"/>
          <w:szCs w:val="24"/>
          <w:lang w:val="pt-BR"/>
        </w:rPr>
        <w:t xml:space="preserve">nº </w:t>
      </w:r>
      <w:r>
        <w:rPr>
          <w:rFonts w:eastAsia="Times New Roman" w:cs="Times New Roman" w:ascii="Times New Roman" w:hAnsi="Times New Roman"/>
          <w:b/>
          <w:bCs/>
          <w:sz w:val="24"/>
          <w:szCs w:val="24"/>
          <w:lang w:val="pt-BR" w:eastAsia="pt-PT"/>
        </w:rPr>
        <w:t xml:space="preserve">1. Principais Indicadores </w:t>
      </w:r>
      <w:r>
        <w:rPr>
          <w:rFonts w:eastAsia="Times New Roman" w:cs="Times New Roman" w:ascii="Times New Roman" w:hAnsi="Times New Roman"/>
          <w:b/>
          <w:sz w:val="24"/>
          <w:szCs w:val="24"/>
          <w:lang w:eastAsia="pt-PT"/>
        </w:rPr>
        <w:t xml:space="preserve"> IONA/ Janeiro 2026</w:t>
      </w:r>
    </w:p>
    <w:p>
      <w:pPr>
        <w:pStyle w:val="Normal"/>
        <w:spacing w:lineRule="auto" w:line="240" w:before="0" w:after="0"/>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jc w:val="both"/>
        <w:rPr>
          <w:rFonts w:ascii="Times New Roman" w:hAnsi="Times New Roman" w:cs="Times New Roman"/>
          <w:bCs/>
          <w:sz w:val="24"/>
          <w:szCs w:val="24"/>
        </w:rPr>
      </w:pPr>
      <w:r>
        <w:rPr>
          <w:rFonts w:cs="Times New Roman" w:ascii="Times New Roman" w:hAnsi="Times New Roman"/>
          <w:sz w:val="24"/>
          <w:szCs w:val="24"/>
        </w:rPr>
        <w:t xml:space="preserve">No mês em análise, foram registadas </w:t>
      </w:r>
      <w:r>
        <w:rPr>
          <w:rFonts w:cs="Times New Roman" w:ascii="Times New Roman" w:hAnsi="Times New Roman"/>
          <w:bCs/>
          <w:sz w:val="24"/>
          <w:szCs w:val="24"/>
        </w:rPr>
        <w:t>8 855 consultas,</w:t>
      </w:r>
      <w:r>
        <w:rPr>
          <w:rFonts w:cs="Times New Roman" w:ascii="Times New Roman" w:hAnsi="Times New Roman"/>
          <w:b/>
          <w:bCs/>
          <w:sz w:val="24"/>
          <w:szCs w:val="24"/>
        </w:rPr>
        <w:t xml:space="preserve"> </w:t>
      </w:r>
      <w:r>
        <w:rPr>
          <w:rFonts w:cs="Times New Roman" w:ascii="Times New Roman" w:hAnsi="Times New Roman"/>
          <w:sz w:val="24"/>
          <w:szCs w:val="24"/>
        </w:rPr>
        <w:t xml:space="preserve">das quais </w:t>
      </w:r>
      <w:r>
        <w:rPr>
          <w:rFonts w:eastAsia="Times New Roman" w:cs="Times New Roman" w:ascii="Times New Roman" w:hAnsi="Times New Roman"/>
          <w:sz w:val="24"/>
          <w:szCs w:val="24"/>
          <w:lang w:eastAsia="pt-PT"/>
        </w:rPr>
        <w:t>8 313</w:t>
      </w:r>
      <w:r>
        <w:rPr>
          <w:rFonts w:cs="Times New Roman" w:ascii="Times New Roman" w:hAnsi="Times New Roman"/>
          <w:sz w:val="24"/>
          <w:szCs w:val="24"/>
        </w:rPr>
        <w:t xml:space="preserve"> em Oftalmologia, (491)</w:t>
      </w:r>
      <w:r>
        <w:rPr/>
        <w:t xml:space="preserve">  </w:t>
      </w:r>
      <w:r>
        <w:rPr>
          <w:rFonts w:cs="Times New Roman" w:ascii="Times New Roman" w:hAnsi="Times New Roman"/>
          <w:sz w:val="24"/>
          <w:szCs w:val="24"/>
        </w:rPr>
        <w:t xml:space="preserve">em Consulta de Medicina Interna e (51) em Anestesia. Dos 8 313 pacientes observados em Oftalmologia, 57% (5050) foram em consulta externa,  31% (2 572) em Urgência e 8%  (691)  em Optometria. Foram operados </w:t>
      </w:r>
      <w:r>
        <w:rPr>
          <w:rFonts w:eastAsia="Times New Roman" w:cs="Times New Roman" w:ascii="Times New Roman" w:hAnsi="Times New Roman"/>
          <w:bCs/>
          <w:sz w:val="24"/>
          <w:szCs w:val="24"/>
          <w:lang w:eastAsia="pt-PT"/>
        </w:rPr>
        <w:t>767 doentes</w:t>
      </w:r>
      <w:r>
        <w:rPr>
          <w:rFonts w:cs="Times New Roman" w:ascii="Times New Roman" w:hAnsi="Times New Roman"/>
          <w:sz w:val="24"/>
          <w:szCs w:val="24"/>
        </w:rPr>
        <w:t>, dos quais 80% (616)  dos casos se deveram a cirurgia electiva, 5% (</w:t>
      </w:r>
      <w:r>
        <w:rPr>
          <w:rFonts w:eastAsia="Times New Roman" w:cs="Times New Roman" w:ascii="Times New Roman" w:hAnsi="Times New Roman"/>
          <w:sz w:val="24"/>
          <w:szCs w:val="24"/>
          <w:lang w:eastAsia="pt-PT"/>
        </w:rPr>
        <w:t>39</w:t>
      </w:r>
      <w:r>
        <w:rPr>
          <w:rFonts w:cs="Times New Roman" w:ascii="Times New Roman" w:hAnsi="Times New Roman"/>
          <w:sz w:val="24"/>
          <w:szCs w:val="24"/>
        </w:rPr>
        <w:t>) a urgência, 15% (</w:t>
      </w:r>
      <w:r>
        <w:rPr>
          <w:rFonts w:eastAsia="Times New Roman" w:cs="Times New Roman" w:ascii="Times New Roman" w:hAnsi="Times New Roman"/>
          <w:sz w:val="24"/>
          <w:szCs w:val="24"/>
          <w:lang w:eastAsia="pt-PT"/>
        </w:rPr>
        <w:t>112)</w:t>
      </w:r>
      <w:r>
        <w:rPr>
          <w:rFonts w:cs="Times New Roman" w:ascii="Times New Roman" w:hAnsi="Times New Roman"/>
          <w:sz w:val="24"/>
          <w:szCs w:val="24"/>
        </w:rPr>
        <w:t xml:space="preserve"> actos cirúrgicos, </w:t>
      </w:r>
      <w:r>
        <w:rPr>
          <w:rFonts w:cs="Times New Roman" w:ascii="Times New Roman" w:hAnsi="Times New Roman"/>
          <w:bCs/>
          <w:sz w:val="24"/>
          <w:szCs w:val="24"/>
        </w:rPr>
        <w:t>cancelados 86, internados 5 e transferidos 9.</w:t>
      </w:r>
      <w:r>
        <w:rPr>
          <w:rFonts w:cs="Times New Roman" w:ascii="Times New Roman" w:hAnsi="Times New Roman"/>
          <w:sz w:val="24"/>
          <w:szCs w:val="24"/>
        </w:rPr>
        <w:t xml:space="preserve"> Foram ainda realizados </w:t>
      </w:r>
      <w:r>
        <w:rPr>
          <w:rFonts w:eastAsia="Times New Roman" w:cs="Times New Roman" w:ascii="Times New Roman" w:hAnsi="Times New Roman"/>
          <w:bCs/>
          <w:sz w:val="24"/>
          <w:szCs w:val="24"/>
          <w:lang w:eastAsia="pt-PT"/>
        </w:rPr>
        <w:t xml:space="preserve">2 327 </w:t>
      </w:r>
      <w:r>
        <w:rPr>
          <w:rFonts w:cs="Times New Roman" w:ascii="Times New Roman" w:hAnsi="Times New Roman"/>
          <w:bCs/>
          <w:sz w:val="24"/>
          <w:szCs w:val="24"/>
        </w:rPr>
        <w:t>Exames Complementares em Oftalmologia</w:t>
      </w:r>
      <w:r>
        <w:rPr>
          <w:rFonts w:cs="Times New Roman" w:ascii="Times New Roman" w:hAnsi="Times New Roman"/>
          <w:b/>
          <w:bCs/>
          <w:sz w:val="24"/>
          <w:szCs w:val="24"/>
        </w:rPr>
        <w:t xml:space="preserve"> e </w:t>
      </w:r>
      <w:r>
        <w:rPr>
          <w:rFonts w:eastAsia="Times New Roman" w:cs="Times New Roman" w:ascii="Times New Roman" w:hAnsi="Times New Roman"/>
          <w:bCs/>
          <w:sz w:val="24"/>
          <w:szCs w:val="24"/>
          <w:lang w:eastAsia="pt-PT"/>
        </w:rPr>
        <w:t xml:space="preserve">6 388 </w:t>
      </w:r>
      <w:r>
        <w:rPr>
          <w:rFonts w:cs="Times New Roman" w:ascii="Times New Roman" w:hAnsi="Times New Roman"/>
          <w:bCs/>
          <w:sz w:val="24"/>
          <w:szCs w:val="24"/>
        </w:rPr>
        <w:t xml:space="preserve">Exames Laboratoriais. </w:t>
      </w:r>
    </w:p>
    <w:p>
      <w:pPr>
        <w:pStyle w:val="Normal"/>
        <w:jc w:val="both"/>
        <w:rPr>
          <w:rFonts w:ascii="Times New Roman" w:hAnsi="Times New Roman" w:cs="Times New Roman"/>
          <w:b/>
          <w:sz w:val="24"/>
          <w:szCs w:val="24"/>
        </w:rPr>
      </w:pPr>
      <w:r>
        <w:rPr>
          <w:rFonts w:cs="Times New Roman" w:ascii="Times New Roman" w:hAnsi="Times New Roman"/>
          <w:b/>
          <w:sz w:val="24"/>
          <w:szCs w:val="24"/>
        </w:rPr>
      </w:r>
    </w:p>
    <w:tbl>
      <w:tblPr>
        <w:tblW w:w="8368"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579"/>
        <w:gridCol w:w="6199"/>
        <w:gridCol w:w="1590"/>
      </w:tblGrid>
      <w:tr>
        <w:trPr>
          <w:trHeight w:val="362" w:hRule="atLeast"/>
        </w:trPr>
        <w:tc>
          <w:tcPr>
            <w:tcW w:w="6778" w:type="dxa"/>
            <w:gridSpan w:val="2"/>
            <w:vMerge w:val="restart"/>
            <w:tcBorders>
              <w:top w:val="single" w:sz="4" w:space="0" w:color="000000"/>
              <w:left w:val="single" w:sz="4" w:space="0" w:color="000000"/>
              <w:bottom w:val="single" w:sz="4" w:space="0" w:color="000000"/>
              <w:right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xml:space="preserve">                </w:t>
            </w:r>
            <w:r>
              <w:rPr>
                <w:rFonts w:eastAsia="Times New Roman" w:cs="Times New Roman" w:ascii="Times New Roman" w:hAnsi="Times New Roman"/>
                <w:b/>
                <w:bCs/>
                <w:color w:val="000000"/>
                <w:sz w:val="24"/>
                <w:szCs w:val="24"/>
                <w:lang w:eastAsia="pt-PT"/>
              </w:rPr>
              <w:t>IONA</w:t>
            </w:r>
          </w:p>
        </w:tc>
        <w:tc>
          <w:tcPr>
            <w:tcW w:w="1590" w:type="dxa"/>
            <w:vMerge w:val="restart"/>
            <w:tcBorders>
              <w:top w:val="single" w:sz="4" w:space="0" w:color="000000"/>
              <w:left w:val="single" w:sz="4" w:space="0" w:color="000000"/>
              <w:bottom w:val="single" w:sz="4" w:space="0" w:color="000000"/>
              <w:right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xml:space="preserve">TOTAL </w:t>
            </w:r>
          </w:p>
        </w:tc>
      </w:tr>
      <w:tr>
        <w:trPr>
          <w:trHeight w:val="336" w:hRule="atLeast"/>
        </w:trPr>
        <w:tc>
          <w:tcPr>
            <w:tcW w:w="677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tc>
        <w:tc>
          <w:tcPr>
            <w:tcW w:w="159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tc>
      </w:tr>
      <w:tr>
        <w:trPr>
          <w:trHeight w:val="330" w:hRule="atLeast"/>
        </w:trPr>
        <w:tc>
          <w:tcPr>
            <w:tcW w:w="579" w:type="dxa"/>
            <w:vMerge w:val="restart"/>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1</w:t>
            </w:r>
          </w:p>
        </w:tc>
        <w:tc>
          <w:tcPr>
            <w:tcW w:w="6199" w:type="dxa"/>
            <w:tcBorders>
              <w:bottom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xml:space="preserve">  </w:t>
            </w:r>
            <w:r>
              <w:rPr>
                <w:rFonts w:eastAsia="Times New Roman" w:cs="Times New Roman" w:ascii="Times New Roman" w:hAnsi="Times New Roman"/>
                <w:b/>
                <w:bCs/>
                <w:color w:val="000000"/>
                <w:sz w:val="24"/>
                <w:szCs w:val="24"/>
                <w:lang w:eastAsia="pt-PT"/>
              </w:rPr>
              <w:t xml:space="preserve">CONSULTAS OFTALMOLOGIA </w:t>
            </w:r>
          </w:p>
        </w:tc>
        <w:tc>
          <w:tcPr>
            <w:tcW w:w="159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tc>
      </w:tr>
      <w:tr>
        <w:trPr>
          <w:trHeight w:val="315" w:hRule="atLeast"/>
        </w:trPr>
        <w:tc>
          <w:tcPr>
            <w:tcW w:w="579" w:type="dxa"/>
            <w:vMerge w:val="continue"/>
            <w:tcBorders>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tc>
        <w:tc>
          <w:tcPr>
            <w:tcW w:w="6199" w:type="dxa"/>
            <w:tcBorders>
              <w:bottom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w:t>
            </w:r>
          </w:p>
        </w:tc>
        <w:tc>
          <w:tcPr>
            <w:tcW w:w="159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tc>
      </w:tr>
      <w:tr>
        <w:trPr>
          <w:trHeight w:val="362" w:hRule="atLeast"/>
        </w:trPr>
        <w:tc>
          <w:tcPr>
            <w:tcW w:w="579"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w:t>
            </w:r>
          </w:p>
        </w:tc>
        <w:tc>
          <w:tcPr>
            <w:tcW w:w="6199" w:type="dxa"/>
            <w:tcBorders>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Oftalmologia</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5 050</w:t>
            </w:r>
          </w:p>
        </w:tc>
      </w:tr>
      <w:tr>
        <w:trPr>
          <w:trHeight w:val="362" w:hRule="atLeast"/>
        </w:trPr>
        <w:tc>
          <w:tcPr>
            <w:tcW w:w="579"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w:t>
            </w:r>
          </w:p>
        </w:tc>
        <w:tc>
          <w:tcPr>
            <w:tcW w:w="6199" w:type="dxa"/>
            <w:tcBorders>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Urgência</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2 572</w:t>
            </w:r>
          </w:p>
        </w:tc>
      </w:tr>
      <w:tr>
        <w:trPr>
          <w:trHeight w:val="362" w:hRule="atLeast"/>
        </w:trPr>
        <w:tc>
          <w:tcPr>
            <w:tcW w:w="579"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w:t>
            </w:r>
          </w:p>
        </w:tc>
        <w:tc>
          <w:tcPr>
            <w:tcW w:w="6199" w:type="dxa"/>
            <w:tcBorders>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Optometria</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691</w:t>
            </w:r>
          </w:p>
        </w:tc>
      </w:tr>
      <w:tr>
        <w:trPr>
          <w:trHeight w:val="330" w:hRule="atLeast"/>
        </w:trPr>
        <w:tc>
          <w:tcPr>
            <w:tcW w:w="57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w:t>
            </w:r>
          </w:p>
        </w:tc>
        <w:tc>
          <w:tcPr>
            <w:tcW w:w="6199"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xml:space="preserve">TOTAL C. OFTALMOLOGIA </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8 313</w:t>
            </w:r>
          </w:p>
        </w:tc>
      </w:tr>
      <w:tr>
        <w:trPr>
          <w:trHeight w:val="330" w:hRule="atLeast"/>
        </w:trPr>
        <w:tc>
          <w:tcPr>
            <w:tcW w:w="57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2</w:t>
            </w:r>
          </w:p>
        </w:tc>
        <w:tc>
          <w:tcPr>
            <w:tcW w:w="6199"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CONSULTA DE ANESTESIA</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51</w:t>
            </w:r>
          </w:p>
        </w:tc>
      </w:tr>
      <w:tr>
        <w:trPr>
          <w:trHeight w:val="330" w:hRule="atLeast"/>
        </w:trPr>
        <w:tc>
          <w:tcPr>
            <w:tcW w:w="57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3</w:t>
            </w:r>
          </w:p>
        </w:tc>
        <w:tc>
          <w:tcPr>
            <w:tcW w:w="6199"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CONSULTA DE MEDICINA INTERNA</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491</w:t>
            </w:r>
          </w:p>
        </w:tc>
      </w:tr>
      <w:tr>
        <w:trPr>
          <w:trHeight w:val="330" w:hRule="atLeast"/>
        </w:trPr>
        <w:tc>
          <w:tcPr>
            <w:tcW w:w="57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w:t>
            </w:r>
          </w:p>
        </w:tc>
        <w:tc>
          <w:tcPr>
            <w:tcW w:w="6199"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xml:space="preserve">TOTAL GERAL DE CONSULTAS </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8 855</w:t>
            </w:r>
          </w:p>
        </w:tc>
      </w:tr>
      <w:tr>
        <w:trPr>
          <w:trHeight w:val="330" w:hRule="atLeast"/>
        </w:trPr>
        <w:tc>
          <w:tcPr>
            <w:tcW w:w="57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4</w:t>
            </w:r>
          </w:p>
        </w:tc>
        <w:tc>
          <w:tcPr>
            <w:tcW w:w="6199" w:type="dxa"/>
            <w:tcBorders>
              <w:bottom w:val="single" w:sz="4" w:space="0" w:color="000000"/>
              <w:right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xml:space="preserve">         </w:t>
            </w:r>
            <w:r>
              <w:rPr>
                <w:rFonts w:eastAsia="Times New Roman" w:cs="Times New Roman" w:ascii="Times New Roman" w:hAnsi="Times New Roman"/>
                <w:b/>
                <w:bCs/>
                <w:color w:val="000000"/>
                <w:sz w:val="24"/>
                <w:szCs w:val="24"/>
                <w:lang w:eastAsia="pt-PT"/>
              </w:rPr>
              <w:t>INTERNAMENTO</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5</w:t>
            </w:r>
          </w:p>
        </w:tc>
      </w:tr>
      <w:tr>
        <w:trPr>
          <w:trHeight w:val="362" w:hRule="atLeast"/>
        </w:trPr>
        <w:tc>
          <w:tcPr>
            <w:tcW w:w="57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5</w:t>
            </w:r>
          </w:p>
        </w:tc>
        <w:tc>
          <w:tcPr>
            <w:tcW w:w="6199" w:type="dxa"/>
            <w:tcBorders>
              <w:bottom w:val="single" w:sz="4" w:space="0" w:color="000000"/>
            </w:tcBorders>
            <w:shd w:color="000000" w:fill="BDD7EE" w:val="clear"/>
          </w:tcPr>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xml:space="preserve">               </w:t>
            </w:r>
            <w:r>
              <w:rPr>
                <w:rFonts w:eastAsia="Times New Roman" w:cs="Times New Roman" w:ascii="Times New Roman" w:hAnsi="Times New Roman"/>
                <w:b/>
                <w:bCs/>
                <w:color w:val="000000"/>
                <w:sz w:val="24"/>
                <w:szCs w:val="24"/>
                <w:lang w:eastAsia="pt-PT"/>
              </w:rPr>
              <w:t>CIRURGIA</w:t>
            </w:r>
          </w:p>
        </w:tc>
        <w:tc>
          <w:tcPr>
            <w:tcW w:w="1590" w:type="dxa"/>
            <w:tcBorders>
              <w:bottom w:val="single" w:sz="4" w:space="0" w:color="000000"/>
              <w:right w:val="single" w:sz="4" w:space="0" w:color="000000"/>
            </w:tcBorders>
            <w:shd w:color="000000" w:fill="BDD7EE" w:val="clear"/>
            <w:vAlign w:val="bottom"/>
          </w:tcPr>
          <w:p>
            <w:pPr>
              <w:pStyle w:val="Normal"/>
              <w:spacing w:lineRule="auto" w:line="240" w:before="0" w:after="0"/>
              <w:jc w:val="right"/>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w:t>
            </w:r>
          </w:p>
        </w:tc>
      </w:tr>
      <w:tr>
        <w:trPr>
          <w:trHeight w:val="362" w:hRule="atLeast"/>
        </w:trPr>
        <w:tc>
          <w:tcPr>
            <w:tcW w:w="579"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w:t>
            </w:r>
          </w:p>
        </w:tc>
        <w:tc>
          <w:tcPr>
            <w:tcW w:w="6199" w:type="dxa"/>
            <w:tcBorders>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Electivas</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616</w:t>
            </w:r>
          </w:p>
        </w:tc>
      </w:tr>
      <w:tr>
        <w:trPr>
          <w:trHeight w:val="362" w:hRule="atLeast"/>
        </w:trPr>
        <w:tc>
          <w:tcPr>
            <w:tcW w:w="579"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w:t>
            </w:r>
          </w:p>
        </w:tc>
        <w:tc>
          <w:tcPr>
            <w:tcW w:w="6199" w:type="dxa"/>
            <w:tcBorders>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Urgências</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39</w:t>
            </w:r>
          </w:p>
        </w:tc>
      </w:tr>
      <w:tr>
        <w:trPr>
          <w:trHeight w:val="362" w:hRule="atLeast"/>
        </w:trPr>
        <w:tc>
          <w:tcPr>
            <w:tcW w:w="57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 </w:t>
            </w:r>
          </w:p>
        </w:tc>
        <w:tc>
          <w:tcPr>
            <w:tcW w:w="6199" w:type="dxa"/>
            <w:tcBorders>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Actos Cirúrgicos</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112</w:t>
            </w:r>
          </w:p>
        </w:tc>
      </w:tr>
      <w:tr>
        <w:trPr>
          <w:trHeight w:val="330" w:hRule="atLeast"/>
        </w:trPr>
        <w:tc>
          <w:tcPr>
            <w:tcW w:w="57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w:t>
            </w:r>
          </w:p>
        </w:tc>
        <w:tc>
          <w:tcPr>
            <w:tcW w:w="6199"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TOTAL DE  CIRURGIAS</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767</w:t>
            </w:r>
          </w:p>
        </w:tc>
      </w:tr>
      <w:tr>
        <w:trPr>
          <w:trHeight w:val="330" w:hRule="atLeast"/>
        </w:trPr>
        <w:tc>
          <w:tcPr>
            <w:tcW w:w="57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6</w:t>
            </w:r>
          </w:p>
        </w:tc>
        <w:tc>
          <w:tcPr>
            <w:tcW w:w="6199"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CIRURGIAS CANCELADAS</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86</w:t>
            </w:r>
          </w:p>
        </w:tc>
      </w:tr>
      <w:tr>
        <w:trPr>
          <w:trHeight w:val="330" w:hRule="atLeast"/>
        </w:trPr>
        <w:tc>
          <w:tcPr>
            <w:tcW w:w="57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7</w:t>
            </w:r>
          </w:p>
        </w:tc>
        <w:tc>
          <w:tcPr>
            <w:tcW w:w="6199"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xml:space="preserve">EXAMES ESPECIAIS </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2 327</w:t>
            </w:r>
          </w:p>
        </w:tc>
      </w:tr>
      <w:tr>
        <w:trPr>
          <w:trHeight w:val="330" w:hRule="atLeast"/>
        </w:trPr>
        <w:tc>
          <w:tcPr>
            <w:tcW w:w="57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8</w:t>
            </w:r>
          </w:p>
        </w:tc>
        <w:tc>
          <w:tcPr>
            <w:tcW w:w="6199"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xml:space="preserve">EXAMES LABORATORIAIS </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6 388</w:t>
            </w:r>
          </w:p>
        </w:tc>
      </w:tr>
      <w:tr>
        <w:trPr>
          <w:trHeight w:val="330" w:hRule="atLeast"/>
        </w:trPr>
        <w:tc>
          <w:tcPr>
            <w:tcW w:w="57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9</w:t>
            </w:r>
          </w:p>
        </w:tc>
        <w:tc>
          <w:tcPr>
            <w:tcW w:w="6199"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PROVENIÊNCIA</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1 422</w:t>
            </w:r>
          </w:p>
        </w:tc>
      </w:tr>
      <w:tr>
        <w:trPr>
          <w:trHeight w:val="330" w:hRule="atLeast"/>
        </w:trPr>
        <w:tc>
          <w:tcPr>
            <w:tcW w:w="57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10</w:t>
            </w:r>
          </w:p>
        </w:tc>
        <w:tc>
          <w:tcPr>
            <w:tcW w:w="6199"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TRANSFERÊNCIA</w:t>
            </w:r>
          </w:p>
        </w:tc>
        <w:tc>
          <w:tcPr>
            <w:tcW w:w="1590" w:type="dxa"/>
            <w:tcBorders>
              <w:bottom w:val="single" w:sz="4" w:space="0" w:color="000000"/>
              <w:right w:val="single" w:sz="4" w:space="0" w:color="000000"/>
            </w:tcBorders>
            <w:shd w:color="000000" w:fill="BDD7EE" w:val="clea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9</w:t>
            </w:r>
          </w:p>
        </w:tc>
      </w:tr>
    </w:tbl>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eastAsia="Times New Roman" w:cs="Times New Roman"/>
          <w:b/>
          <w:sz w:val="24"/>
          <w:szCs w:val="24"/>
          <w:lang w:eastAsia="pt-PT"/>
        </w:rPr>
      </w:pPr>
      <w:r>
        <w:rPr>
          <w:rFonts w:cs="Times New Roman" w:ascii="Times New Roman" w:hAnsi="Times New Roman"/>
          <w:b/>
          <w:sz w:val="24"/>
          <w:szCs w:val="24"/>
          <w:lang w:val="pt-BR"/>
        </w:rPr>
        <w:t xml:space="preserve">Tabela nº 1.2. Tipo de Consultas Realizadas </w:t>
      </w:r>
      <w:r>
        <w:rPr>
          <w:rFonts w:eastAsia="Times New Roman" w:cs="Times New Roman" w:ascii="Times New Roman" w:hAnsi="Times New Roman"/>
          <w:b/>
          <w:sz w:val="24"/>
          <w:szCs w:val="24"/>
          <w:lang w:eastAsia="pt-PT"/>
        </w:rPr>
        <w:t>IONA / Janeiro 2026</w:t>
      </w:r>
    </w:p>
    <w:p>
      <w:pPr>
        <w:pStyle w:val="Normal"/>
        <w:spacing w:before="0" w:after="0"/>
        <w:jc w:val="both"/>
        <w:rPr>
          <w:rFonts w:ascii="Times New Roman" w:hAnsi="Times New Roman" w:eastAsia="Times New Roman" w:cs="Times New Roman"/>
          <w:sz w:val="24"/>
          <w:szCs w:val="24"/>
          <w:lang w:val="pt-BR" w:eastAsia="pt-PT"/>
        </w:rPr>
      </w:pPr>
      <w:r>
        <w:rPr>
          <w:rFonts w:eastAsia="Times New Roman" w:cs="Times New Roman" w:ascii="Times New Roman" w:hAnsi="Times New Roman"/>
          <w:bCs/>
          <w:sz w:val="24"/>
          <w:szCs w:val="24"/>
          <w:lang w:val="pt-BR" w:eastAsia="pt-PT"/>
        </w:rPr>
        <w:t xml:space="preserve">Foram observados em consulta um total de 8 855 pacientes, sendo  57% em Oftalmologia, 29% </w:t>
      </w:r>
      <w:r>
        <w:rPr>
          <w:rFonts w:eastAsia="Times New Roman" w:cs="Times New Roman" w:ascii="Times New Roman" w:hAnsi="Times New Roman"/>
          <w:sz w:val="24"/>
          <w:szCs w:val="24"/>
          <w:lang w:eastAsia="pt-PT"/>
        </w:rPr>
        <w:t>em Urgência, 8</w:t>
      </w:r>
      <w:r>
        <w:rPr>
          <w:rFonts w:eastAsia="Times New Roman" w:cs="Times New Roman" w:ascii="Times New Roman" w:hAnsi="Times New Roman"/>
          <w:bCs/>
          <w:sz w:val="24"/>
          <w:szCs w:val="24"/>
          <w:lang w:val="pt-BR" w:eastAsia="pt-PT"/>
        </w:rPr>
        <w:t xml:space="preserve">% </w:t>
      </w:r>
      <w:r>
        <w:rPr>
          <w:rFonts w:eastAsia="Times New Roman" w:cs="Times New Roman" w:ascii="Times New Roman" w:hAnsi="Times New Roman"/>
          <w:sz w:val="24"/>
          <w:szCs w:val="24"/>
          <w:lang w:eastAsia="pt-PT"/>
        </w:rPr>
        <w:t>em Optometria, 6</w:t>
      </w:r>
      <w:r>
        <w:rPr>
          <w:rFonts w:eastAsia="Times New Roman" w:cs="Times New Roman" w:ascii="Times New Roman" w:hAnsi="Times New Roman"/>
          <w:bCs/>
          <w:sz w:val="24"/>
          <w:szCs w:val="24"/>
          <w:lang w:val="pt-BR" w:eastAsia="pt-PT"/>
        </w:rPr>
        <w:t xml:space="preserve">% </w:t>
      </w:r>
      <w:r>
        <w:rPr>
          <w:rFonts w:eastAsia="Times New Roman" w:cs="Times New Roman" w:ascii="Times New Roman" w:hAnsi="Times New Roman"/>
          <w:sz w:val="24"/>
          <w:szCs w:val="24"/>
          <w:lang w:eastAsia="pt-PT"/>
        </w:rPr>
        <w:t xml:space="preserve">em Medicina Interna e 1% em </w:t>
      </w:r>
      <w:r>
        <w:rPr>
          <w:rFonts w:eastAsia="Times New Roman" w:cs="Times New Roman" w:ascii="Times New Roman" w:hAnsi="Times New Roman"/>
          <w:sz w:val="24"/>
          <w:szCs w:val="24"/>
          <w:lang w:val="pt-BR" w:eastAsia="pt-PT"/>
        </w:rPr>
        <w:t>Consulta de Anestesia.</w:t>
      </w:r>
    </w:p>
    <w:p>
      <w:pPr>
        <w:pStyle w:val="Normal"/>
        <w:spacing w:before="0" w:after="0"/>
        <w:jc w:val="both"/>
        <w:rPr>
          <w:rFonts w:ascii="Times New Roman" w:hAnsi="Times New Roman" w:eastAsia="Times New Roman" w:cs="Times New Roman"/>
          <w:sz w:val="24"/>
          <w:szCs w:val="24"/>
          <w:lang w:val="pt-BR" w:eastAsia="pt-PT"/>
        </w:rPr>
      </w:pPr>
      <w:r>
        <w:rPr>
          <w:rFonts w:eastAsia="Times New Roman" w:cs="Times New Roman" w:ascii="Times New Roman" w:hAnsi="Times New Roman"/>
          <w:sz w:val="24"/>
          <w:szCs w:val="24"/>
          <w:lang w:val="pt-BR" w:eastAsia="pt-PT"/>
        </w:rPr>
      </w:r>
    </w:p>
    <w:p>
      <w:pPr>
        <w:pStyle w:val="Normal"/>
        <w:spacing w:before="0" w:after="0"/>
        <w:jc w:val="both"/>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tbl>
      <w:tblPr>
        <w:tblW w:w="6745" w:type="dxa"/>
        <w:jc w:val="left"/>
        <w:tblInd w:w="-5" w:type="dxa"/>
        <w:tblLayout w:type="fixed"/>
        <w:tblCellMar>
          <w:top w:w="0" w:type="dxa"/>
          <w:left w:w="70" w:type="dxa"/>
          <w:bottom w:w="0" w:type="dxa"/>
          <w:right w:w="70" w:type="dxa"/>
        </w:tblCellMar>
        <w:tblLook w:val="04a0" w:noHBand="0" w:noVBand="1" w:firstColumn="1" w:lastRow="0" w:lastColumn="0" w:firstRow="1"/>
      </w:tblPr>
      <w:tblGrid>
        <w:gridCol w:w="4250"/>
        <w:gridCol w:w="1154"/>
        <w:gridCol w:w="1341"/>
      </w:tblGrid>
      <w:tr>
        <w:trPr>
          <w:trHeight w:val="331" w:hRule="atLeast"/>
        </w:trPr>
        <w:tc>
          <w:tcPr>
            <w:tcW w:w="4250" w:type="dxa"/>
            <w:vMerge w:val="restart"/>
            <w:tcBorders>
              <w:top w:val="single" w:sz="4" w:space="0" w:color="000000"/>
              <w:left w:val="single" w:sz="4" w:space="0" w:color="000000"/>
              <w:bottom w:val="single" w:sz="4" w:space="0" w:color="000000"/>
              <w:right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TIPO DE CONSULTA</w:t>
            </w:r>
          </w:p>
        </w:tc>
        <w:tc>
          <w:tcPr>
            <w:tcW w:w="1154" w:type="dxa"/>
            <w:vMerge w:val="restart"/>
            <w:tcBorders>
              <w:top w:val="single" w:sz="4" w:space="0" w:color="000000"/>
              <w:left w:val="single" w:sz="4" w:space="0" w:color="000000"/>
              <w:bottom w:val="single" w:sz="4" w:space="0" w:color="000000"/>
              <w:right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TOTAL</w:t>
            </w:r>
          </w:p>
        </w:tc>
        <w:tc>
          <w:tcPr>
            <w:tcW w:w="1341" w:type="dxa"/>
            <w:vMerge w:val="restart"/>
            <w:tcBorders>
              <w:top w:val="single" w:sz="4" w:space="0" w:color="000000"/>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w:t>
            </w:r>
          </w:p>
        </w:tc>
      </w:tr>
      <w:tr>
        <w:trPr>
          <w:trHeight w:val="331" w:hRule="atLeast"/>
        </w:trPr>
        <w:tc>
          <w:tcPr>
            <w:tcW w:w="42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tc>
        <w:tc>
          <w:tcPr>
            <w:tcW w:w="115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tc>
        <w:tc>
          <w:tcPr>
            <w:tcW w:w="134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tc>
      </w:tr>
      <w:tr>
        <w:trPr>
          <w:trHeight w:val="331" w:hRule="atLeast"/>
        </w:trPr>
        <w:tc>
          <w:tcPr>
            <w:tcW w:w="4250" w:type="dxa"/>
            <w:tcBorders>
              <w:left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Oftalmologia</w:t>
            </w:r>
          </w:p>
        </w:tc>
        <w:tc>
          <w:tcPr>
            <w:tcW w:w="1154" w:type="dxa"/>
            <w:tcBorders>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5 050</w:t>
            </w:r>
          </w:p>
        </w:tc>
        <w:tc>
          <w:tcPr>
            <w:tcW w:w="1341"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57</w:t>
            </w:r>
          </w:p>
        </w:tc>
      </w:tr>
      <w:tr>
        <w:trPr>
          <w:trHeight w:val="316" w:hRule="atLeast"/>
        </w:trPr>
        <w:tc>
          <w:tcPr>
            <w:tcW w:w="4250" w:type="dxa"/>
            <w:tcBorders>
              <w:left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Urgência</w:t>
            </w:r>
          </w:p>
        </w:tc>
        <w:tc>
          <w:tcPr>
            <w:tcW w:w="1154" w:type="dxa"/>
            <w:tcBorders>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2 572</w:t>
            </w:r>
          </w:p>
        </w:tc>
        <w:tc>
          <w:tcPr>
            <w:tcW w:w="1341"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29</w:t>
            </w:r>
          </w:p>
        </w:tc>
      </w:tr>
      <w:tr>
        <w:trPr>
          <w:trHeight w:val="331" w:hRule="atLeast"/>
        </w:trPr>
        <w:tc>
          <w:tcPr>
            <w:tcW w:w="4250" w:type="dxa"/>
            <w:tcBorders>
              <w:left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Optometria</w:t>
            </w:r>
          </w:p>
        </w:tc>
        <w:tc>
          <w:tcPr>
            <w:tcW w:w="1154" w:type="dxa"/>
            <w:tcBorders>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691</w:t>
            </w:r>
          </w:p>
        </w:tc>
        <w:tc>
          <w:tcPr>
            <w:tcW w:w="1341"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8</w:t>
            </w:r>
          </w:p>
        </w:tc>
      </w:tr>
      <w:tr>
        <w:trPr>
          <w:trHeight w:val="331" w:hRule="atLeast"/>
        </w:trPr>
        <w:tc>
          <w:tcPr>
            <w:tcW w:w="4250" w:type="dxa"/>
            <w:tcBorders>
              <w:left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Consulta de Medicina Interna</w:t>
            </w:r>
          </w:p>
        </w:tc>
        <w:tc>
          <w:tcPr>
            <w:tcW w:w="1154" w:type="dxa"/>
            <w:tcBorders>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491</w:t>
            </w:r>
          </w:p>
        </w:tc>
        <w:tc>
          <w:tcPr>
            <w:tcW w:w="1341"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6</w:t>
            </w:r>
          </w:p>
        </w:tc>
      </w:tr>
      <w:tr>
        <w:trPr>
          <w:trHeight w:val="331" w:hRule="atLeast"/>
        </w:trPr>
        <w:tc>
          <w:tcPr>
            <w:tcW w:w="4250" w:type="dxa"/>
            <w:tcBorders>
              <w:left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Consulta de Anestesia</w:t>
            </w:r>
          </w:p>
        </w:tc>
        <w:tc>
          <w:tcPr>
            <w:tcW w:w="1154" w:type="dxa"/>
            <w:tcBorders>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51</w:t>
            </w:r>
          </w:p>
        </w:tc>
        <w:tc>
          <w:tcPr>
            <w:tcW w:w="1341"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1</w:t>
            </w:r>
          </w:p>
        </w:tc>
      </w:tr>
      <w:tr>
        <w:trPr>
          <w:trHeight w:val="331" w:hRule="atLeast"/>
        </w:trPr>
        <w:tc>
          <w:tcPr>
            <w:tcW w:w="4250" w:type="dxa"/>
            <w:tcBorders>
              <w:left w:val="single" w:sz="4" w:space="0" w:color="000000"/>
              <w:bottom w:val="single" w:sz="4" w:space="0" w:color="000000"/>
              <w:right w:val="single" w:sz="4" w:space="0" w:color="000000"/>
            </w:tcBorders>
            <w:shd w:color="000000" w:fill="BDD7EE" w:val="clear"/>
            <w:vAlign w:val="center"/>
          </w:tcPr>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xml:space="preserve">Total Geral </w:t>
            </w:r>
          </w:p>
        </w:tc>
        <w:tc>
          <w:tcPr>
            <w:tcW w:w="1154" w:type="dxa"/>
            <w:tcBorders>
              <w:bottom w:val="single" w:sz="4" w:space="0" w:color="000000"/>
              <w:right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sz w:val="24"/>
                <w:szCs w:val="24"/>
                <w:lang w:eastAsia="pt-PT"/>
              </w:rPr>
            </w:pPr>
            <w:r>
              <w:rPr>
                <w:rFonts w:eastAsia="Times New Roman" w:cs="Times New Roman" w:ascii="Times New Roman" w:hAnsi="Times New Roman"/>
                <w:b/>
                <w:bCs/>
                <w:sz w:val="24"/>
                <w:szCs w:val="24"/>
                <w:lang w:eastAsia="pt-PT"/>
              </w:rPr>
              <w:t>8 855</w:t>
            </w:r>
          </w:p>
        </w:tc>
        <w:tc>
          <w:tcPr>
            <w:tcW w:w="1341"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sz w:val="24"/>
                <w:szCs w:val="24"/>
                <w:lang w:eastAsia="pt-PT"/>
              </w:rPr>
            </w:pPr>
            <w:r>
              <w:rPr>
                <w:rFonts w:eastAsia="Times New Roman" w:cs="Times New Roman" w:ascii="Times New Roman" w:hAnsi="Times New Roman"/>
                <w:b/>
                <w:bCs/>
                <w:sz w:val="24"/>
                <w:szCs w:val="24"/>
                <w:lang w:eastAsia="pt-PT"/>
              </w:rPr>
              <w:t>100</w:t>
            </w:r>
          </w:p>
        </w:tc>
      </w:tr>
    </w:tbl>
    <w:p>
      <w:pPr>
        <w:pStyle w:val="Normal"/>
        <w:jc w:val="both"/>
        <w:rPr>
          <w:rFonts w:ascii="Times New Roman" w:hAnsi="Times New Roman" w:eastAsia="Times New Roman" w:cs="Times New Roman"/>
          <w:b/>
          <w:bCs/>
          <w:sz w:val="24"/>
          <w:szCs w:val="24"/>
          <w:lang w:val="pt-BR" w:eastAsia="pt-PT"/>
        </w:rPr>
      </w:pPr>
      <w:r>
        <w:rPr>
          <w:rFonts w:cs="Times New Roman" w:ascii="Times New Roman" w:hAnsi="Times New Roman"/>
          <w:b/>
          <w:sz w:val="24"/>
          <w:szCs w:val="24"/>
          <w:lang w:val="pt-BR"/>
        </w:rPr>
        <w:br/>
      </w:r>
      <w:r>
        <w:rPr>
          <w:rFonts w:eastAsia="Times New Roman" w:cs="Times New Roman" w:ascii="Times New Roman" w:hAnsi="Times New Roman"/>
          <w:b/>
          <w:bCs/>
          <w:sz w:val="24"/>
          <w:szCs w:val="24"/>
          <w:lang w:val="pt-BR" w:eastAsia="pt-PT"/>
        </w:rPr>
        <w:t xml:space="preserve"> </w:t>
      </w:r>
    </w:p>
    <w:p>
      <w:pPr>
        <w:pStyle w:val="Normal"/>
        <w:rPr>
          <w:rFonts w:ascii="Times New Roman" w:hAnsi="Times New Roman" w:eastAsia="Times New Roman" w:cs="Times New Roman"/>
          <w:b/>
          <w:bCs/>
          <w:sz w:val="24"/>
          <w:szCs w:val="24"/>
          <w:lang w:val="pt-BR" w:eastAsia="pt-PT"/>
        </w:rPr>
      </w:pPr>
      <w:r/>
      <w:r>
        <w:rPr>
          <w:rFonts w:eastAsia="Times New Roman" w:cs="Times New Roman" w:ascii="Times New Roman" w:hAnsi="Times New Roman"/>
          <w:b/>
          <w:bCs/>
          <w:sz w:val="24"/>
          <w:szCs w:val="24"/>
          <w:lang w:val="pt-BR" w:eastAsia="pt-PT"/>
        </w:rPr>
        <w:drawing>
          <wp:anchor behindDoc="0" distT="0" distB="0" distL="0" distR="0" simplePos="0" locked="0" layoutInCell="1" allowOverlap="1" relativeHeight="2">
            <wp:simplePos x="0" y="0"/>
            <wp:positionH relativeFrom="margin">
              <wp:posOffset>656590</wp:posOffset>
            </wp:positionH>
            <wp:positionV relativeFrom="paragraph">
              <wp:posOffset>318135</wp:posOffset>
            </wp:positionV>
            <wp:extent cx="4524375" cy="2571750"/>
            <wp:effectExtent l="0" t="0" r="0" b="0"/>
            <wp:wrapSquare wrapText="bothSides"/>
            <wp:docPr id="1" name="Gráfico 935865695"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2"/>
              </a:graphicData>
            </a:graphic>
          </wp:anchor>
        </w:drawing>
        <w:t xml:space="preserve">    </w:t>
      </w:r>
      <w:r>
        <w:rPr>
          <w:rFonts w:eastAsia="Times New Roman" w:cs="Times New Roman" w:ascii="Times New Roman" w:hAnsi="Times New Roman"/>
          <w:b/>
          <w:bCs/>
          <w:sz w:val="24"/>
          <w:szCs w:val="24"/>
          <w:lang w:val="pt-BR" w:eastAsia="pt-PT"/>
        </w:rPr>
        <w:t xml:space="preserve">Gráfico </w:t>
      </w:r>
      <w:r>
        <w:rPr>
          <w:rFonts w:cs="Times New Roman" w:ascii="Times New Roman" w:hAnsi="Times New Roman"/>
          <w:b/>
          <w:sz w:val="24"/>
          <w:szCs w:val="24"/>
          <w:lang w:val="pt-BR"/>
        </w:rPr>
        <w:t xml:space="preserve">nº </w:t>
      </w:r>
      <w:r>
        <w:rPr>
          <w:rFonts w:eastAsia="Times New Roman" w:cs="Times New Roman" w:ascii="Times New Roman" w:hAnsi="Times New Roman"/>
          <w:b/>
          <w:bCs/>
          <w:sz w:val="24"/>
          <w:szCs w:val="24"/>
          <w:lang w:val="pt-BR" w:eastAsia="pt-PT"/>
        </w:rPr>
        <w:t>1. Tipo de Consultas Realizadas  IONA /Janeiro 2026</w:t>
      </w:r>
    </w:p>
    <w:p>
      <w:pPr>
        <w:pStyle w:val="Normal"/>
        <w:rPr>
          <w:rFonts w:ascii="Times New Roman" w:hAnsi="Times New Roman" w:cs="Times New Roman"/>
          <w:b/>
          <w:sz w:val="24"/>
          <w:szCs w:val="24"/>
          <w:lang w:val="pt-BR"/>
        </w:rPr>
      </w:pPr>
      <w:r>
        <w:rPr>
          <w:rFonts w:cs="Times New Roman" w:ascii="Times New Roman" w:hAnsi="Times New Roman"/>
          <w:b/>
          <w:sz w:val="24"/>
          <w:szCs w:val="24"/>
          <w:lang w:val="pt-BR"/>
        </w:rPr>
        <w:br w:type="textWrapping" w:clear="all"/>
      </w:r>
      <w:r>
        <w:rPr>
          <w:rFonts w:cs="Times New Roman" w:ascii="Times New Roman" w:hAnsi="Times New Roman"/>
          <w:b/>
          <w:sz w:val="24"/>
          <w:szCs w:val="24"/>
          <w:lang w:val="pt-BR"/>
        </w:rPr>
        <w:t xml:space="preserve">Tabela nº 1.3. Consulta Externa de Oftalmologia </w:t>
      </w:r>
      <w:r>
        <w:rPr>
          <w:rFonts w:eastAsia="Times New Roman" w:cs="Times New Roman" w:ascii="Times New Roman" w:hAnsi="Times New Roman"/>
          <w:b/>
          <w:sz w:val="24"/>
          <w:szCs w:val="24"/>
          <w:lang w:eastAsia="pt-PT"/>
        </w:rPr>
        <w:t>IONA / Janeiro 2026</w:t>
      </w:r>
    </w:p>
    <w:p>
      <w:pPr>
        <w:pStyle w:val="Normal"/>
        <w:spacing w:before="0" w:after="0"/>
        <w:jc w:val="both"/>
        <w:rPr>
          <w:rFonts w:ascii="Times New Roman" w:hAnsi="Times New Roman" w:cs="Times New Roman"/>
          <w:bCs/>
          <w:sz w:val="24"/>
          <w:szCs w:val="24"/>
        </w:rPr>
      </w:pPr>
      <w:r>
        <w:rPr>
          <w:rFonts w:cs="Times New Roman" w:ascii="Times New Roman" w:hAnsi="Times New Roman"/>
          <w:bCs/>
          <w:sz w:val="24"/>
          <w:szCs w:val="24"/>
        </w:rPr>
        <w:t xml:space="preserve">Foram observados em consulta externa de Oftalmologia </w:t>
      </w:r>
      <w:r>
        <w:rPr>
          <w:rFonts w:eastAsia="Times New Roman" w:cs="Times New Roman" w:ascii="Times New Roman" w:hAnsi="Times New Roman"/>
          <w:b/>
          <w:bCs/>
          <w:sz w:val="24"/>
          <w:szCs w:val="24"/>
          <w:lang w:val="pt-BR" w:eastAsia="pt-PT"/>
        </w:rPr>
        <w:t xml:space="preserve">5 741 </w:t>
      </w:r>
      <w:r>
        <w:rPr>
          <w:rFonts w:cs="Times New Roman" w:ascii="Times New Roman" w:hAnsi="Times New Roman"/>
          <w:bCs/>
          <w:sz w:val="24"/>
          <w:szCs w:val="24"/>
        </w:rPr>
        <w:t>pacientes. De referir que a consulta externa abrange as consultas de Oftalmologia e Optometria.</w:t>
      </w:r>
    </w:p>
    <w:p>
      <w:pPr>
        <w:pStyle w:val="Normal"/>
        <w:spacing w:before="0" w:after="0"/>
        <w:rPr>
          <w:rFonts w:ascii="Times New Roman" w:hAnsi="Times New Roman" w:cs="Times New Roman"/>
          <w:color w:val="FF0000"/>
          <w:sz w:val="24"/>
          <w:szCs w:val="24"/>
        </w:rPr>
      </w:pPr>
      <w:r>
        <w:rPr>
          <w:rFonts w:cs="Times New Roman" w:ascii="Times New Roman" w:hAnsi="Times New Roman"/>
          <w:color w:val="FF0000"/>
          <w:sz w:val="24"/>
          <w:szCs w:val="24"/>
        </w:rPr>
      </w:r>
    </w:p>
    <w:tbl>
      <w:tblPr>
        <w:tblW w:w="6740" w:type="dxa"/>
        <w:jc w:val="center"/>
        <w:tblInd w:w="0" w:type="dxa"/>
        <w:tblLayout w:type="fixed"/>
        <w:tblCellMar>
          <w:top w:w="0" w:type="dxa"/>
          <w:left w:w="30" w:type="dxa"/>
          <w:bottom w:w="0" w:type="dxa"/>
          <w:right w:w="30" w:type="dxa"/>
        </w:tblCellMar>
        <w:tblLook w:val="04a0" w:noHBand="0" w:noVBand="1" w:firstColumn="1" w:lastRow="0" w:lastColumn="0" w:firstRow="1"/>
      </w:tblPr>
      <w:tblGrid>
        <w:gridCol w:w="4829"/>
        <w:gridCol w:w="1910"/>
      </w:tblGrid>
      <w:tr>
        <w:trPr>
          <w:trHeight w:val="959" w:hRule="atLeast"/>
        </w:trPr>
        <w:tc>
          <w:tcPr>
            <w:tcW w:w="482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before="200" w:after="0"/>
              <w:jc w:val="center"/>
              <w:outlineLvl w:val="2"/>
              <w:rPr>
                <w:rFonts w:ascii="Times New Roman" w:hAnsi="Times New Roman" w:eastAsia="Times New Roman" w:cs="Times New Roman"/>
                <w:b/>
                <w:bCs/>
                <w:lang w:eastAsia="pt-PT"/>
              </w:rPr>
            </w:pPr>
            <w:r>
              <w:rPr>
                <w:rFonts w:eastAsia="Times New Roman" w:cs="Times New Roman" w:ascii="Times New Roman" w:hAnsi="Times New Roman"/>
                <w:b/>
                <w:bCs/>
                <w:lang w:eastAsia="pt-PT"/>
              </w:rPr>
              <w:t>TIPO CONSULTA</w:t>
            </w:r>
          </w:p>
        </w:tc>
        <w:tc>
          <w:tcPr>
            <w:tcW w:w="1910"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before="200" w:after="0"/>
              <w:jc w:val="center"/>
              <w:outlineLvl w:val="2"/>
              <w:rPr>
                <w:rFonts w:ascii="Times New Roman" w:hAnsi="Times New Roman" w:eastAsia="Times New Roman" w:cs="Times New Roman"/>
                <w:b/>
                <w:bCs/>
                <w:lang w:eastAsia="pt-PT"/>
              </w:rPr>
            </w:pPr>
            <w:r>
              <w:rPr>
                <w:rFonts w:eastAsia="Times New Roman" w:cs="Times New Roman" w:ascii="Times New Roman" w:hAnsi="Times New Roman"/>
                <w:b/>
                <w:bCs/>
                <w:lang w:eastAsia="pt-PT"/>
              </w:rPr>
              <w:t>TOTAL</w:t>
            </w:r>
          </w:p>
        </w:tc>
      </w:tr>
      <w:tr>
        <w:trPr>
          <w:trHeight w:val="824" w:hRule="exact"/>
        </w:trPr>
        <w:tc>
          <w:tcPr>
            <w:tcW w:w="482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before="200" w:after="0"/>
              <w:outlineLvl w:val="2"/>
              <w:rPr>
                <w:rFonts w:ascii="Times New Roman" w:hAnsi="Times New Roman" w:eastAsia="Times New Roman" w:cs="Times New Roman"/>
                <w:b/>
                <w:lang w:eastAsia="pt-PT"/>
              </w:rPr>
            </w:pPr>
            <w:r>
              <w:rPr>
                <w:rFonts w:eastAsia="Times New Roman" w:cs="Times New Roman" w:ascii="Times New Roman" w:hAnsi="Times New Roman"/>
                <w:b/>
                <w:lang w:eastAsia="pt-PT"/>
              </w:rPr>
              <w:t xml:space="preserve">                               </w:t>
            </w:r>
            <w:r>
              <w:rPr>
                <w:rFonts w:eastAsia="Times New Roman" w:cs="Times New Roman" w:ascii="Times New Roman" w:hAnsi="Times New Roman"/>
                <w:b/>
                <w:lang w:eastAsia="pt-PT"/>
              </w:rPr>
              <w:t>Externa</w:t>
            </w:r>
          </w:p>
        </w:tc>
        <w:tc>
          <w:tcPr>
            <w:tcW w:w="19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rFonts w:ascii="Times New Roman" w:hAnsi="Times New Roman" w:cs="Times New Roman"/>
              </w:rPr>
            </w:pPr>
            <w:r>
              <w:rPr>
                <w:rFonts w:cs="Times New Roman" w:ascii="Times New Roman" w:hAnsi="Times New Roman"/>
              </w:rPr>
              <w:t>5 741</w:t>
            </w:r>
          </w:p>
        </w:tc>
      </w:tr>
    </w:tbl>
    <w:p>
      <w:pPr>
        <w:pStyle w:val="Normal"/>
        <w:tabs>
          <w:tab w:val="clear" w:pos="708"/>
          <w:tab w:val="left" w:pos="5700" w:leader="none"/>
        </w:tabs>
        <w:spacing w:before="0" w:after="0"/>
        <w:rPr>
          <w:rFonts w:ascii="Times New Roman" w:hAnsi="Times New Roman" w:cs="Times New Roman"/>
          <w:bCs/>
          <w:color w:val="FF0000"/>
          <w:sz w:val="24"/>
          <w:szCs w:val="24"/>
          <w:lang w:val="pt-BR"/>
        </w:rPr>
      </w:pPr>
      <w:r>
        <w:rPr>
          <w:rFonts w:cs="Times New Roman" w:ascii="Times New Roman" w:hAnsi="Times New Roman"/>
          <w:bCs/>
          <w:color w:val="FF0000"/>
          <w:sz w:val="24"/>
          <w:szCs w:val="24"/>
        </w:rPr>
        <w:tab/>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eastAsia="Times New Roman" w:cs="Times New Roman"/>
          <w:b/>
          <w:sz w:val="24"/>
          <w:szCs w:val="24"/>
          <w:lang w:eastAsia="pt-PT"/>
        </w:rPr>
      </w:pPr>
      <w:r>
        <w:rPr>
          <w:rFonts w:cs="Times New Roman" w:ascii="Times New Roman" w:hAnsi="Times New Roman"/>
          <w:b/>
          <w:sz w:val="24"/>
          <w:szCs w:val="24"/>
          <w:lang w:val="pt-BR"/>
        </w:rPr>
        <w:t xml:space="preserve">Tabela nº 1.4.  Consulta de Urgência </w:t>
      </w:r>
      <w:r>
        <w:rPr>
          <w:rFonts w:eastAsia="Times New Roman" w:cs="Times New Roman" w:ascii="Times New Roman" w:hAnsi="Times New Roman"/>
          <w:b/>
          <w:sz w:val="24"/>
          <w:szCs w:val="24"/>
          <w:lang w:eastAsia="pt-PT"/>
        </w:rPr>
        <w:t>IONA/ Janeiro 2026</w:t>
      </w:r>
    </w:p>
    <w:p>
      <w:pPr>
        <w:pStyle w:val="Normal"/>
        <w:spacing w:before="0" w:after="0"/>
        <w:jc w:val="both"/>
        <w:rPr>
          <w:rFonts w:ascii="Times New Roman" w:hAnsi="Times New Roman" w:cs="Times New Roman"/>
          <w:bCs/>
          <w:sz w:val="24"/>
          <w:szCs w:val="24"/>
        </w:rPr>
      </w:pPr>
      <w:r>
        <w:rPr>
          <w:rFonts w:cs="Times New Roman" w:ascii="Times New Roman" w:hAnsi="Times New Roman"/>
          <w:bCs/>
          <w:sz w:val="24"/>
          <w:szCs w:val="24"/>
        </w:rPr>
        <w:t xml:space="preserve">Foram observados em consulta de urgência </w:t>
      </w:r>
      <w:r>
        <w:rPr>
          <w:rFonts w:cs="Times New Roman" w:ascii="Times New Roman" w:hAnsi="Times New Roman"/>
          <w:b/>
          <w:bCs/>
          <w:sz w:val="24"/>
          <w:szCs w:val="24"/>
        </w:rPr>
        <w:t xml:space="preserve">2 572 </w:t>
      </w:r>
      <w:r>
        <w:rPr>
          <w:rFonts w:cs="Times New Roman" w:ascii="Times New Roman" w:hAnsi="Times New Roman"/>
          <w:bCs/>
          <w:sz w:val="24"/>
          <w:szCs w:val="24"/>
        </w:rPr>
        <w:t xml:space="preserve">pacientes, perfazendo um total de 31%, quando considerada apenas Oftalmologia. </w:t>
      </w:r>
    </w:p>
    <w:p>
      <w:pPr>
        <w:pStyle w:val="Normal"/>
        <w:spacing w:lineRule="auto" w:line="240" w:before="0" w:after="0"/>
        <w:rPr>
          <w:rFonts w:ascii="Times New Roman" w:hAnsi="Times New Roman" w:eastAsia="Times New Roman" w:cs="Times New Roman"/>
          <w:sz w:val="1"/>
          <w:szCs w:val="20"/>
          <w:lang w:eastAsia="pt-PT"/>
        </w:rPr>
      </w:pPr>
      <w:r>
        <w:rPr>
          <w:rFonts w:eastAsia="Times New Roman" w:cs="Times New Roman" w:ascii="Times New Roman" w:hAnsi="Times New Roman"/>
          <w:sz w:val="1"/>
          <w:szCs w:val="20"/>
          <w:lang w:eastAsia="pt-PT"/>
        </w:rPr>
      </w:r>
    </w:p>
    <w:tbl>
      <w:tblPr>
        <w:tblpPr w:vertAnchor="text" w:horzAnchor="margin" w:leftFromText="141" w:rightFromText="141" w:tblpX="0" w:tblpY="304"/>
        <w:tblW w:w="7209" w:type="dxa"/>
        <w:jc w:val="left"/>
        <w:tblInd w:w="-5" w:type="dxa"/>
        <w:tblLayout w:type="fixed"/>
        <w:tblCellMar>
          <w:top w:w="0" w:type="dxa"/>
          <w:left w:w="70" w:type="dxa"/>
          <w:bottom w:w="0" w:type="dxa"/>
          <w:right w:w="70" w:type="dxa"/>
        </w:tblCellMar>
        <w:tblLook w:val="04a0" w:noHBand="0" w:noVBand="1" w:firstColumn="1" w:lastRow="0" w:lastColumn="0" w:firstRow="1"/>
      </w:tblPr>
      <w:tblGrid>
        <w:gridCol w:w="5039"/>
        <w:gridCol w:w="2169"/>
      </w:tblGrid>
      <w:tr>
        <w:trPr>
          <w:trHeight w:val="949" w:hRule="atLeast"/>
        </w:trPr>
        <w:tc>
          <w:tcPr>
            <w:tcW w:w="50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lineRule="auto" w:line="240" w:before="40" w:after="0"/>
              <w:jc w:val="center"/>
              <w:outlineLvl w:val="2"/>
              <w:rPr>
                <w:rFonts w:ascii="Times New Roman" w:hAnsi="Times New Roman" w:eastAsia="Times New Roman" w:cs="Times New Roman"/>
                <w:b/>
                <w:lang w:eastAsia="pt-PT"/>
              </w:rPr>
            </w:pPr>
            <w:r>
              <w:rPr>
                <w:rFonts w:eastAsia="Times New Roman" w:cs="Times New Roman" w:ascii="Times New Roman" w:hAnsi="Times New Roman"/>
                <w:b/>
                <w:lang w:eastAsia="pt-PT"/>
              </w:rPr>
              <w:t>CONSULTAS DE URGÊNCIA</w:t>
            </w:r>
          </w:p>
        </w:tc>
        <w:tc>
          <w:tcPr>
            <w:tcW w:w="216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lineRule="auto" w:line="240" w:before="40" w:after="0"/>
              <w:jc w:val="center"/>
              <w:outlineLvl w:val="2"/>
              <w:rPr>
                <w:rFonts w:ascii="Times New Roman" w:hAnsi="Times New Roman" w:eastAsia="Times New Roman" w:cs="Times New Roman"/>
                <w:b/>
                <w:lang w:eastAsia="pt-PT"/>
              </w:rPr>
            </w:pPr>
            <w:r>
              <w:rPr>
                <w:rFonts w:eastAsia="Times New Roman" w:cs="Times New Roman" w:ascii="Times New Roman" w:hAnsi="Times New Roman"/>
                <w:b/>
                <w:lang w:eastAsia="pt-PT"/>
              </w:rPr>
              <w:t>TOTAL</w:t>
            </w:r>
          </w:p>
        </w:tc>
      </w:tr>
      <w:tr>
        <w:trPr>
          <w:trHeight w:val="826" w:hRule="exact"/>
        </w:trPr>
        <w:tc>
          <w:tcPr>
            <w:tcW w:w="50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lineRule="auto" w:line="240" w:before="40" w:after="0"/>
              <w:jc w:val="center"/>
              <w:outlineLvl w:val="2"/>
              <w:rPr>
                <w:rFonts w:ascii="Times New Roman" w:hAnsi="Times New Roman" w:eastAsia="Times New Roman" w:cs="Times New Roman"/>
                <w:b/>
                <w:lang w:eastAsia="pt-PT"/>
              </w:rPr>
            </w:pPr>
            <w:r>
              <w:rPr>
                <w:rFonts w:eastAsia="Times New Roman" w:cs="Times New Roman" w:ascii="Times New Roman" w:hAnsi="Times New Roman"/>
                <w:b/>
                <w:lang w:eastAsia="pt-PT"/>
              </w:rPr>
              <w:t>Urgência</w:t>
            </w:r>
          </w:p>
        </w:tc>
        <w:tc>
          <w:tcPr>
            <w:tcW w:w="2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rFonts w:ascii="Times New Roman" w:hAnsi="Times New Roman" w:eastAsia="Times New Roman" w:cs="Times New Roman"/>
                <w:b/>
                <w:lang w:eastAsia="pt-PT"/>
              </w:rPr>
            </w:pPr>
            <w:r>
              <w:rPr>
                <w:rFonts w:eastAsia="Times New Roman" w:cs="Times New Roman" w:ascii="Times New Roman" w:hAnsi="Times New Roman"/>
                <w:b/>
                <w:lang w:eastAsia="pt-PT"/>
              </w:rPr>
              <w:t>2 572</w:t>
            </w:r>
          </w:p>
        </w:tc>
      </w:tr>
    </w:tbl>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spacing w:lineRule="auto" w:line="240"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t>Tabela  nº 1.5. Pacientes observados por   Idade e Sexo IONA /</w:t>
      </w:r>
      <w:r>
        <w:rPr>
          <w:rFonts w:eastAsia="Times New Roman" w:cs="Times New Roman" w:ascii="Times New Roman" w:hAnsi="Times New Roman"/>
          <w:b/>
          <w:sz w:val="24"/>
          <w:szCs w:val="24"/>
          <w:lang w:eastAsia="pt-PT"/>
        </w:rPr>
        <w:t xml:space="preserve"> Janeiro </w:t>
      </w:r>
      <w:r>
        <w:rPr>
          <w:rFonts w:cs="Times New Roman" w:ascii="Times New Roman" w:hAnsi="Times New Roman"/>
          <w:b/>
          <w:bCs/>
          <w:sz w:val="24"/>
          <w:szCs w:val="24"/>
          <w:lang w:val="pt-BR"/>
        </w:rPr>
        <w:t>2026</w:t>
      </w:r>
    </w:p>
    <w:p>
      <w:pPr>
        <w:pStyle w:val="Normal"/>
        <w:spacing w:lineRule="auto" w:line="240" w:before="0" w:after="0"/>
        <w:rPr>
          <w:rFonts w:ascii="Times New Roman" w:hAnsi="Times New Roman" w:eastAsia="Times New Roman" w:cs="Times New Roman"/>
          <w:sz w:val="1"/>
          <w:szCs w:val="20"/>
          <w:lang w:val="pt-BR" w:eastAsia="pt-PT"/>
        </w:rPr>
      </w:pPr>
      <w:r>
        <w:rPr>
          <w:rFonts w:eastAsia="Times New Roman" w:cs="Times New Roman" w:ascii="Times New Roman" w:hAnsi="Times New Roman"/>
          <w:sz w:val="1"/>
          <w:szCs w:val="20"/>
          <w:lang w:val="pt-BR" w:eastAsia="pt-PT"/>
        </w:rPr>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t xml:space="preserve"> </w:t>
      </w:r>
      <w:r>
        <w:rPr>
          <w:rFonts w:cs="Times New Roman" w:ascii="Times New Roman" w:hAnsi="Times New Roman"/>
          <w:bCs/>
          <w:sz w:val="24"/>
          <w:szCs w:val="24"/>
          <w:lang w:val="pt-BR"/>
        </w:rPr>
        <w:t>O grupo etário mais atendido foi o dos 45-64 anos, com 29% (2 411) dos casos, seguido pelo grupo acima dos 65 anos, com 22% (1 846), o que se entende ao ser um centro de referência. Em relação ao sexo, existe um predomínio ligeiro do sexo Feminino com 52%.</w:t>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spacing w:lineRule="auto" w:line="240" w:before="0" w:after="0"/>
        <w:rPr>
          <w:rFonts w:ascii="Times New Roman" w:hAnsi="Times New Roman" w:eastAsia="Times New Roman" w:cs="Times New Roman"/>
          <w:sz w:val="1"/>
          <w:szCs w:val="20"/>
          <w:lang w:val="pt-BR" w:eastAsia="pt-PT"/>
        </w:rPr>
      </w:pPr>
      <w:r>
        <w:rPr>
          <w:rFonts w:eastAsia="Times New Roman" w:cs="Times New Roman" w:ascii="Times New Roman" w:hAnsi="Times New Roman"/>
          <w:sz w:val="1"/>
          <w:szCs w:val="20"/>
          <w:lang w:val="pt-BR" w:eastAsia="pt-PT"/>
        </w:rPr>
        <w:tab/>
      </w:r>
    </w:p>
    <w:tbl>
      <w:tblPr>
        <w:tblpPr w:vertAnchor="page" w:horzAnchor="margin" w:bottomFromText="160" w:leftFromText="141" w:rightFromText="141" w:tblpX="0" w:tblpY="7486"/>
        <w:tblW w:w="5392"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853"/>
        <w:gridCol w:w="839"/>
        <w:gridCol w:w="2700"/>
      </w:tblGrid>
      <w:tr>
        <w:trPr>
          <w:trHeight w:val="444" w:hRule="exact"/>
        </w:trPr>
        <w:tc>
          <w:tcPr>
            <w:tcW w:w="2692" w:type="dxa"/>
            <w:gridSpan w:val="2"/>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Idade/ Sexo</w:t>
            </w:r>
          </w:p>
        </w:tc>
        <w:tc>
          <w:tcPr>
            <w:tcW w:w="2700"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 xml:space="preserve">Nº Pacientes  </w:t>
            </w:r>
          </w:p>
        </w:tc>
      </w:tr>
      <w:tr>
        <w:trPr>
          <w:trHeight w:val="310" w:hRule="exact"/>
        </w:trPr>
        <w:tc>
          <w:tcPr>
            <w:tcW w:w="1853"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0-11 m</w:t>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M</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86</w:t>
            </w:r>
          </w:p>
        </w:tc>
      </w:tr>
      <w:tr>
        <w:trPr>
          <w:trHeight w:val="310" w:hRule="exact"/>
        </w:trPr>
        <w:tc>
          <w:tcPr>
            <w:tcW w:w="1853" w:type="dxa"/>
            <w:vMerge w:val="continue"/>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0"/>
              <w:rPr>
                <w:rFonts w:ascii="Times New Roman" w:hAnsi="Times New Roman" w:cs="Times New Roman"/>
                <w:b/>
                <w:lang w:val="pt-BR"/>
              </w:rPr>
            </w:pPr>
            <w:r>
              <w:rPr>
                <w:rFonts w:cs="Times New Roman" w:ascii="Times New Roman" w:hAnsi="Times New Roman"/>
                <w:b/>
                <w:lang w:val="pt-BR"/>
              </w:rPr>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F</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87</w:t>
            </w:r>
          </w:p>
        </w:tc>
      </w:tr>
      <w:tr>
        <w:trPr>
          <w:trHeight w:val="310" w:hRule="exact"/>
        </w:trPr>
        <w:tc>
          <w:tcPr>
            <w:tcW w:w="1853"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1-4 A</w:t>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M</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232</w:t>
            </w:r>
          </w:p>
        </w:tc>
      </w:tr>
      <w:tr>
        <w:trPr>
          <w:trHeight w:val="310" w:hRule="exact"/>
        </w:trPr>
        <w:tc>
          <w:tcPr>
            <w:tcW w:w="1853" w:type="dxa"/>
            <w:vMerge w:val="continue"/>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0"/>
              <w:rPr>
                <w:rFonts w:ascii="Times New Roman" w:hAnsi="Times New Roman" w:cs="Times New Roman"/>
                <w:b/>
                <w:lang w:val="pt-BR"/>
              </w:rPr>
            </w:pPr>
            <w:r>
              <w:rPr>
                <w:rFonts w:cs="Times New Roman" w:ascii="Times New Roman" w:hAnsi="Times New Roman"/>
                <w:b/>
                <w:lang w:val="pt-BR"/>
              </w:rPr>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F</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193</w:t>
            </w:r>
          </w:p>
        </w:tc>
      </w:tr>
      <w:tr>
        <w:trPr>
          <w:trHeight w:val="310" w:hRule="exact"/>
        </w:trPr>
        <w:tc>
          <w:tcPr>
            <w:tcW w:w="1853"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5-9 A</w:t>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M</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226</w:t>
            </w:r>
          </w:p>
        </w:tc>
      </w:tr>
      <w:tr>
        <w:trPr>
          <w:trHeight w:val="310" w:hRule="exact"/>
        </w:trPr>
        <w:tc>
          <w:tcPr>
            <w:tcW w:w="1853" w:type="dxa"/>
            <w:vMerge w:val="continue"/>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0"/>
              <w:rPr>
                <w:rFonts w:ascii="Times New Roman" w:hAnsi="Times New Roman" w:cs="Times New Roman"/>
                <w:b/>
                <w:lang w:val="pt-BR"/>
              </w:rPr>
            </w:pPr>
            <w:r>
              <w:rPr>
                <w:rFonts w:cs="Times New Roman" w:ascii="Times New Roman" w:hAnsi="Times New Roman"/>
                <w:b/>
                <w:lang w:val="pt-BR"/>
              </w:rPr>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F</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265</w:t>
            </w:r>
          </w:p>
        </w:tc>
      </w:tr>
      <w:tr>
        <w:trPr>
          <w:trHeight w:val="310" w:hRule="exact"/>
        </w:trPr>
        <w:tc>
          <w:tcPr>
            <w:tcW w:w="1853"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10-14 A</w:t>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M</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295</w:t>
            </w:r>
          </w:p>
        </w:tc>
      </w:tr>
      <w:tr>
        <w:trPr>
          <w:trHeight w:val="310" w:hRule="exact"/>
        </w:trPr>
        <w:tc>
          <w:tcPr>
            <w:tcW w:w="1853" w:type="dxa"/>
            <w:vMerge w:val="continue"/>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0"/>
              <w:rPr>
                <w:rFonts w:ascii="Times New Roman" w:hAnsi="Times New Roman" w:cs="Times New Roman"/>
                <w:b/>
                <w:lang w:val="pt-BR"/>
              </w:rPr>
            </w:pPr>
            <w:r>
              <w:rPr>
                <w:rFonts w:cs="Times New Roman" w:ascii="Times New Roman" w:hAnsi="Times New Roman"/>
                <w:b/>
                <w:lang w:val="pt-BR"/>
              </w:rPr>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F</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299</w:t>
            </w:r>
          </w:p>
        </w:tc>
      </w:tr>
      <w:tr>
        <w:trPr>
          <w:trHeight w:val="310" w:hRule="exact"/>
        </w:trPr>
        <w:tc>
          <w:tcPr>
            <w:tcW w:w="1853"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15-24 A</w:t>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M</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435</w:t>
            </w:r>
          </w:p>
        </w:tc>
      </w:tr>
      <w:tr>
        <w:trPr>
          <w:trHeight w:val="310" w:hRule="exact"/>
        </w:trPr>
        <w:tc>
          <w:tcPr>
            <w:tcW w:w="1853" w:type="dxa"/>
            <w:vMerge w:val="continue"/>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0"/>
              <w:rPr>
                <w:rFonts w:ascii="Times New Roman" w:hAnsi="Times New Roman" w:cs="Times New Roman"/>
                <w:b/>
                <w:lang w:val="pt-BR"/>
              </w:rPr>
            </w:pPr>
            <w:r>
              <w:rPr>
                <w:rFonts w:cs="Times New Roman" w:ascii="Times New Roman" w:hAnsi="Times New Roman"/>
                <w:b/>
                <w:lang w:val="pt-BR"/>
              </w:rPr>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F</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447</w:t>
            </w:r>
          </w:p>
        </w:tc>
      </w:tr>
      <w:tr>
        <w:trPr>
          <w:trHeight w:val="310" w:hRule="exact"/>
        </w:trPr>
        <w:tc>
          <w:tcPr>
            <w:tcW w:w="1853"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25-44 A</w:t>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M</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720</w:t>
            </w:r>
          </w:p>
        </w:tc>
      </w:tr>
      <w:tr>
        <w:trPr>
          <w:trHeight w:val="310" w:hRule="exact"/>
        </w:trPr>
        <w:tc>
          <w:tcPr>
            <w:tcW w:w="1853" w:type="dxa"/>
            <w:vMerge w:val="continue"/>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0"/>
              <w:rPr>
                <w:rFonts w:ascii="Times New Roman" w:hAnsi="Times New Roman" w:cs="Times New Roman"/>
                <w:b/>
                <w:lang w:val="pt-BR"/>
              </w:rPr>
            </w:pPr>
            <w:r>
              <w:rPr>
                <w:rFonts w:cs="Times New Roman" w:ascii="Times New Roman" w:hAnsi="Times New Roman"/>
                <w:b/>
                <w:lang w:val="pt-BR"/>
              </w:rPr>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F</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771</w:t>
            </w:r>
          </w:p>
        </w:tc>
      </w:tr>
      <w:tr>
        <w:trPr>
          <w:trHeight w:val="310" w:hRule="exact"/>
        </w:trPr>
        <w:tc>
          <w:tcPr>
            <w:tcW w:w="1853"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45-64 A</w:t>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M</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1 149</w:t>
            </w:r>
          </w:p>
        </w:tc>
      </w:tr>
      <w:tr>
        <w:trPr>
          <w:trHeight w:val="310" w:hRule="exact"/>
        </w:trPr>
        <w:tc>
          <w:tcPr>
            <w:tcW w:w="1853" w:type="dxa"/>
            <w:vMerge w:val="continue"/>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0"/>
              <w:rPr>
                <w:rFonts w:ascii="Times New Roman" w:hAnsi="Times New Roman" w:cs="Times New Roman"/>
                <w:b/>
                <w:lang w:val="pt-BR"/>
              </w:rPr>
            </w:pPr>
            <w:r>
              <w:rPr>
                <w:rFonts w:cs="Times New Roman" w:ascii="Times New Roman" w:hAnsi="Times New Roman"/>
                <w:b/>
                <w:lang w:val="pt-BR"/>
              </w:rPr>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F</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1 262</w:t>
            </w:r>
          </w:p>
        </w:tc>
      </w:tr>
      <w:tr>
        <w:trPr>
          <w:trHeight w:val="310" w:hRule="exact"/>
        </w:trPr>
        <w:tc>
          <w:tcPr>
            <w:tcW w:w="1853"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&lt;65 A +</w:t>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M</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821</w:t>
            </w:r>
          </w:p>
        </w:tc>
      </w:tr>
      <w:tr>
        <w:trPr>
          <w:trHeight w:val="310" w:hRule="exact"/>
        </w:trPr>
        <w:tc>
          <w:tcPr>
            <w:tcW w:w="1853" w:type="dxa"/>
            <w:vMerge w:val="continue"/>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0"/>
              <w:rPr>
                <w:rFonts w:ascii="Times New Roman" w:hAnsi="Times New Roman" w:cs="Times New Roman"/>
                <w:b/>
                <w:lang w:val="pt-BR"/>
              </w:rPr>
            </w:pPr>
            <w:r>
              <w:rPr>
                <w:rFonts w:cs="Times New Roman" w:ascii="Times New Roman" w:hAnsi="Times New Roman"/>
                <w:b/>
                <w:lang w:val="pt-BR"/>
              </w:rPr>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F</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200"/>
              <w:jc w:val="center"/>
              <w:rPr>
                <w:rFonts w:ascii="Times New Roman" w:hAnsi="Times New Roman" w:cs="Times New Roman"/>
              </w:rPr>
            </w:pPr>
            <w:r>
              <w:rPr>
                <w:rFonts w:cs="Times New Roman" w:ascii="Times New Roman" w:hAnsi="Times New Roman"/>
              </w:rPr>
              <w:t>1 025</w:t>
            </w:r>
          </w:p>
        </w:tc>
      </w:tr>
      <w:tr>
        <w:trPr>
          <w:trHeight w:val="310" w:hRule="exact"/>
        </w:trPr>
        <w:tc>
          <w:tcPr>
            <w:tcW w:w="1853"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SOMA</w:t>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M</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00"/>
              <w:jc w:val="center"/>
              <w:rPr>
                <w:rFonts w:ascii="Times New Roman" w:hAnsi="Times New Roman" w:cs="Times New Roman"/>
                <w:bCs/>
              </w:rPr>
            </w:pPr>
            <w:r>
              <w:rPr>
                <w:rFonts w:cs="Times New Roman" w:ascii="Times New Roman" w:hAnsi="Times New Roman"/>
                <w:bCs/>
              </w:rPr>
              <w:t>3 964</w:t>
            </w:r>
          </w:p>
        </w:tc>
      </w:tr>
      <w:tr>
        <w:trPr>
          <w:trHeight w:val="310" w:hRule="exact"/>
        </w:trPr>
        <w:tc>
          <w:tcPr>
            <w:tcW w:w="1853" w:type="dxa"/>
            <w:vMerge w:val="continue"/>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0"/>
              <w:rPr>
                <w:rFonts w:ascii="Times New Roman" w:hAnsi="Times New Roman" w:cs="Times New Roman"/>
                <w:b/>
                <w:lang w:val="pt-BR"/>
              </w:rPr>
            </w:pPr>
            <w:r>
              <w:rPr>
                <w:rFonts w:cs="Times New Roman" w:ascii="Times New Roman" w:hAnsi="Times New Roman"/>
                <w:b/>
                <w:lang w:val="pt-BR"/>
              </w:rPr>
            </w:r>
          </w:p>
        </w:tc>
        <w:tc>
          <w:tcPr>
            <w:tcW w:w="83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F</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00"/>
              <w:jc w:val="center"/>
              <w:rPr>
                <w:rFonts w:ascii="Times New Roman" w:hAnsi="Times New Roman" w:cs="Times New Roman"/>
                <w:bCs/>
              </w:rPr>
            </w:pPr>
            <w:r>
              <w:rPr>
                <w:rFonts w:cs="Times New Roman" w:ascii="Times New Roman" w:hAnsi="Times New Roman"/>
                <w:bCs/>
              </w:rPr>
              <w:t>4 349</w:t>
            </w:r>
          </w:p>
        </w:tc>
      </w:tr>
      <w:tr>
        <w:trPr>
          <w:trHeight w:val="344" w:hRule="exact"/>
        </w:trPr>
        <w:tc>
          <w:tcPr>
            <w:tcW w:w="2692" w:type="dxa"/>
            <w:gridSpan w:val="2"/>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TOTAL</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00"/>
              <w:jc w:val="center"/>
              <w:rPr>
                <w:rFonts w:ascii="Times New Roman" w:hAnsi="Times New Roman" w:cs="Times New Roman"/>
                <w:b/>
              </w:rPr>
            </w:pPr>
            <w:r>
              <w:rPr>
                <w:rFonts w:cs="Times New Roman" w:ascii="Times New Roman" w:hAnsi="Times New Roman"/>
                <w:b/>
              </w:rPr>
              <w:t>8 313</w:t>
            </w:r>
          </w:p>
        </w:tc>
      </w:tr>
    </w:tbl>
    <w:p>
      <w:pPr>
        <w:pStyle w:val="Normal"/>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t>Tabela nº 1.6. Nr. de Consultas Realizadas por Faixa Etária IONA/  Janeiro 2026</w:t>
      </w:r>
    </w:p>
    <w:p>
      <w:pPr>
        <w:pStyle w:val="Normal"/>
        <w:spacing w:before="0" w:after="0"/>
        <w:jc w:val="both"/>
        <w:rPr>
          <w:rFonts w:ascii="Times New Roman" w:hAnsi="Times New Roman" w:cs="Times New Roman"/>
          <w:bCs/>
          <w:sz w:val="24"/>
          <w:szCs w:val="24"/>
        </w:rPr>
      </w:pPr>
      <w:r>
        <w:rPr>
          <w:rFonts w:cs="Times New Roman" w:ascii="Times New Roman" w:hAnsi="Times New Roman"/>
          <w:bCs/>
          <w:sz w:val="24"/>
          <w:szCs w:val="24"/>
        </w:rPr>
        <w:t>A maior parte dos pacientes está na faixa etária acima dos 15 anos, com  80% (6 630 ) dos casos. Pacientes abaixo dos 15 anos, geralmente apresentam patologias de nível primário, como ametropias ou erros refractivos.</w:t>
      </w:r>
    </w:p>
    <w:p>
      <w:pPr>
        <w:pStyle w:val="Normal"/>
        <w:spacing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tbl>
      <w:tblPr>
        <w:tblpPr w:vertAnchor="text" w:horzAnchor="margin" w:leftFromText="141" w:rightFromText="141" w:tblpX="0" w:tblpY="130"/>
        <w:tblW w:w="7255" w:type="dxa"/>
        <w:jc w:val="left"/>
        <w:tblInd w:w="-5" w:type="dxa"/>
        <w:tblLayout w:type="fixed"/>
        <w:tblCellMar>
          <w:top w:w="0" w:type="dxa"/>
          <w:left w:w="30" w:type="dxa"/>
          <w:bottom w:w="0" w:type="dxa"/>
          <w:right w:w="30" w:type="dxa"/>
        </w:tblCellMar>
        <w:tblLook w:val="04a0" w:noHBand="0" w:noVBand="1" w:firstColumn="1" w:lastRow="0" w:lastColumn="0" w:firstRow="1"/>
      </w:tblPr>
      <w:tblGrid>
        <w:gridCol w:w="2314"/>
        <w:gridCol w:w="1698"/>
        <w:gridCol w:w="1697"/>
        <w:gridCol w:w="1545"/>
      </w:tblGrid>
      <w:tr>
        <w:trPr>
          <w:trHeight w:val="537" w:hRule="atLeast"/>
        </w:trPr>
        <w:tc>
          <w:tcPr>
            <w:tcW w:w="2314" w:type="dxa"/>
            <w:tcBorders>
              <w:top w:val="single" w:sz="4" w:space="0" w:color="000000"/>
              <w:left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lineRule="auto" w:line="240" w:before="200" w:after="0"/>
              <w:jc w:val="center"/>
              <w:outlineLvl w:val="2"/>
              <w:rPr>
                <w:rFonts w:ascii="Times New Roman" w:hAnsi="Times New Roman" w:eastAsia="Times New Roman" w:cs="Times New Roman"/>
                <w:b/>
                <w:bCs/>
                <w:lang w:eastAsia="pt-PT"/>
              </w:rPr>
            </w:pPr>
            <w:r>
              <w:rPr>
                <w:rFonts w:eastAsia="Times New Roman" w:cs="Times New Roman" w:ascii="Times New Roman" w:hAnsi="Times New Roman"/>
                <w:bCs/>
                <w:lang w:eastAsia="pt-PT"/>
              </w:rPr>
              <w:t>Consultas</w:t>
            </w:r>
          </w:p>
        </w:tc>
        <w:tc>
          <w:tcPr>
            <w:tcW w:w="1698"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lineRule="auto" w:line="240" w:before="200" w:after="0"/>
              <w:jc w:val="center"/>
              <w:outlineLvl w:val="2"/>
              <w:rPr>
                <w:rFonts w:ascii="Times New Roman" w:hAnsi="Times New Roman" w:eastAsia="Times New Roman" w:cs="Times New Roman"/>
                <w:b/>
                <w:bCs/>
                <w:lang w:eastAsia="pt-PT"/>
              </w:rPr>
            </w:pPr>
            <w:r>
              <w:rPr>
                <w:rFonts w:eastAsia="Times New Roman" w:cs="Times New Roman" w:ascii="Times New Roman" w:hAnsi="Times New Roman"/>
                <w:b/>
                <w:bCs/>
                <w:lang w:eastAsia="pt-PT"/>
              </w:rPr>
              <w:t>- 15 ANOS</w:t>
            </w:r>
          </w:p>
        </w:tc>
        <w:tc>
          <w:tcPr>
            <w:tcW w:w="1697"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lineRule="auto" w:line="240" w:before="200" w:after="0"/>
              <w:jc w:val="center"/>
              <w:outlineLvl w:val="2"/>
              <w:rPr>
                <w:rFonts w:ascii="Times New Roman" w:hAnsi="Times New Roman" w:eastAsia="Times New Roman" w:cs="Times New Roman"/>
                <w:b/>
                <w:bCs/>
                <w:lang w:eastAsia="pt-PT"/>
              </w:rPr>
            </w:pPr>
            <w:r>
              <w:rPr>
                <w:rFonts w:eastAsia="Times New Roman" w:cs="Times New Roman" w:ascii="Times New Roman" w:hAnsi="Times New Roman"/>
                <w:b/>
                <w:bCs/>
                <w:lang w:eastAsia="pt-PT"/>
              </w:rPr>
              <w:t>+ 15 ANOS</w:t>
            </w:r>
          </w:p>
        </w:tc>
        <w:tc>
          <w:tcPr>
            <w:tcW w:w="1545"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lineRule="auto" w:line="240" w:before="200" w:after="0"/>
              <w:jc w:val="center"/>
              <w:outlineLvl w:val="2"/>
              <w:rPr>
                <w:rFonts w:ascii="Times New Roman" w:hAnsi="Times New Roman" w:eastAsia="Times New Roman" w:cs="Times New Roman"/>
                <w:b/>
                <w:bCs/>
                <w:lang w:eastAsia="pt-PT"/>
              </w:rPr>
            </w:pPr>
            <w:r>
              <w:rPr>
                <w:rFonts w:eastAsia="Times New Roman" w:cs="Times New Roman" w:ascii="Times New Roman" w:hAnsi="Times New Roman"/>
                <w:b/>
                <w:bCs/>
                <w:lang w:eastAsia="pt-PT"/>
              </w:rPr>
              <w:t>TOTAL</w:t>
            </w:r>
          </w:p>
        </w:tc>
      </w:tr>
      <w:tr>
        <w:trPr>
          <w:trHeight w:val="85" w:hRule="atLeast"/>
        </w:trPr>
        <w:tc>
          <w:tcPr>
            <w:tcW w:w="2314" w:type="dxa"/>
            <w:tcBorders>
              <w:left w:val="single" w:sz="4" w:space="0" w:color="000000"/>
              <w:bottom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lineRule="auto" w:line="240" w:before="200" w:after="0"/>
              <w:outlineLvl w:val="2"/>
              <w:rPr>
                <w:rFonts w:ascii="Times New Roman" w:hAnsi="Times New Roman" w:eastAsia="Times New Roman" w:cs="Times New Roman"/>
                <w:b/>
                <w:bCs/>
                <w:lang w:eastAsia="pt-PT"/>
              </w:rPr>
            </w:pPr>
            <w:r>
              <w:rPr>
                <w:rFonts w:eastAsia="Times New Roman" w:cs="Times New Roman" w:ascii="Times New Roman" w:hAnsi="Times New Roman"/>
                <w:b/>
                <w:bCs/>
                <w:lang w:eastAsia="pt-PT"/>
              </w:rPr>
            </w:r>
          </w:p>
        </w:tc>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宋体" w:cs="Times New Roman" w:eastAsiaTheme="majorEastAsia"/>
                <w:b/>
                <w:bCs/>
                <w:lang w:val="pt-BR" w:eastAsia="pt-PT"/>
              </w:rPr>
            </w:pPr>
            <w:r>
              <w:rPr>
                <w:rFonts w:eastAsia="宋体" w:cs="Times New Roman" w:eastAsiaTheme="majorEastAsia" w:ascii="Times New Roman" w:hAnsi="Times New Roman"/>
                <w:b/>
                <w:bCs/>
                <w:lang w:val="pt-BR" w:eastAsia="pt-PT"/>
              </w:rPr>
            </w:r>
          </w:p>
        </w:tc>
        <w:tc>
          <w:tcPr>
            <w:tcW w:w="169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宋体" w:cs="Times New Roman" w:eastAsiaTheme="majorEastAsia"/>
                <w:b/>
                <w:bCs/>
                <w:lang w:val="pt-BR" w:eastAsia="pt-PT"/>
              </w:rPr>
            </w:pPr>
            <w:r>
              <w:rPr>
                <w:rFonts w:eastAsia="宋体" w:cs="Times New Roman" w:eastAsiaTheme="majorEastAsia" w:ascii="Times New Roman" w:hAnsi="Times New Roman"/>
                <w:b/>
                <w:bCs/>
                <w:lang w:val="pt-BR" w:eastAsia="pt-PT"/>
              </w:rPr>
            </w:r>
          </w:p>
        </w:tc>
        <w:tc>
          <w:tcPr>
            <w:tcW w:w="154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宋体" w:cs="Times New Roman" w:eastAsiaTheme="majorEastAsia"/>
                <w:b/>
                <w:bCs/>
                <w:lang w:val="pt-BR" w:eastAsia="pt-PT"/>
              </w:rPr>
            </w:pPr>
            <w:r>
              <w:rPr>
                <w:rFonts w:eastAsia="宋体" w:cs="Times New Roman" w:eastAsiaTheme="majorEastAsia" w:ascii="Times New Roman" w:hAnsi="Times New Roman"/>
                <w:b/>
                <w:bCs/>
                <w:lang w:val="pt-BR" w:eastAsia="pt-PT"/>
              </w:rPr>
            </w:r>
          </w:p>
        </w:tc>
      </w:tr>
      <w:tr>
        <w:trPr>
          <w:trHeight w:val="781" w:hRule="exact"/>
        </w:trPr>
        <w:tc>
          <w:tcPr>
            <w:tcW w:w="2314"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lineRule="auto" w:line="240" w:before="200" w:after="0"/>
              <w:jc w:val="center"/>
              <w:outlineLvl w:val="2"/>
              <w:rPr>
                <w:rFonts w:ascii="Times New Roman" w:hAnsi="Times New Roman" w:eastAsia="Times New Roman" w:cs="Times New Roman"/>
                <w:bCs/>
                <w:lang w:eastAsia="pt-PT"/>
              </w:rPr>
            </w:pPr>
            <w:r>
              <w:rPr>
                <w:rFonts w:eastAsia="Times New Roman" w:cs="Times New Roman" w:ascii="Times New Roman" w:hAnsi="Times New Roman"/>
                <w:bCs/>
                <w:lang w:eastAsia="pt-PT"/>
              </w:rPr>
              <w:t xml:space="preserve">Janeiro </w:t>
            </w:r>
          </w:p>
        </w:tc>
        <w:tc>
          <w:tcPr>
            <w:tcW w:w="1698"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200"/>
              <w:jc w:val="center"/>
              <w:rPr>
                <w:rFonts w:ascii="Times New Roman" w:hAnsi="Times New Roman" w:cs="Times New Roman"/>
              </w:rPr>
            </w:pPr>
            <w:r>
              <w:rPr>
                <w:rFonts w:cs="Times New Roman" w:ascii="Times New Roman" w:hAnsi="Times New Roman"/>
              </w:rPr>
              <w:t>1 683</w:t>
            </w:r>
          </w:p>
        </w:tc>
        <w:tc>
          <w:tcPr>
            <w:tcW w:w="169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200"/>
              <w:jc w:val="center"/>
              <w:rPr>
                <w:rFonts w:ascii="Times New Roman" w:hAnsi="Times New Roman" w:cs="Times New Roman"/>
              </w:rPr>
            </w:pPr>
            <w:r>
              <w:rPr>
                <w:rFonts w:cs="Times New Roman" w:ascii="Times New Roman" w:hAnsi="Times New Roman"/>
              </w:rPr>
              <w:t>6 630</w:t>
            </w:r>
          </w:p>
        </w:tc>
        <w:tc>
          <w:tcPr>
            <w:tcW w:w="154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200"/>
              <w:jc w:val="center"/>
              <w:rPr>
                <w:rFonts w:ascii="Times New Roman" w:hAnsi="Times New Roman" w:cs="Times New Roman"/>
                <w:b/>
              </w:rPr>
            </w:pPr>
            <w:r>
              <w:rPr>
                <w:rFonts w:cs="Times New Roman" w:ascii="Times New Roman" w:hAnsi="Times New Roman"/>
                <w:b/>
              </w:rPr>
              <w:t>8 313</w:t>
            </w:r>
          </w:p>
        </w:tc>
      </w:tr>
    </w:tbl>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center"/>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rPr>
          <w:rFonts w:ascii="Times New Roman" w:hAnsi="Times New Roman" w:cs="Times New Roman"/>
          <w:bCs/>
          <w:sz w:val="24"/>
          <w:szCs w:val="24"/>
          <w:lang w:val="pt-BR"/>
        </w:rPr>
      </w:pPr>
      <w:r>
        <w:rPr>
          <w:rFonts w:eastAsia="Times New Roman" w:cs="Times New Roman" w:ascii="Times New Roman" w:hAnsi="Times New Roman"/>
          <w:b/>
          <w:bCs/>
          <w:sz w:val="24"/>
          <w:szCs w:val="24"/>
          <w:lang w:val="pt-BR" w:eastAsia="pt-PT"/>
        </w:rPr>
        <w:t xml:space="preserve">Gráfico </w:t>
      </w:r>
      <w:r>
        <w:rPr>
          <w:rFonts w:cs="Times New Roman" w:ascii="Times New Roman" w:hAnsi="Times New Roman"/>
          <w:b/>
          <w:sz w:val="24"/>
          <w:szCs w:val="24"/>
          <w:lang w:val="pt-BR"/>
        </w:rPr>
        <w:t xml:space="preserve">nº </w:t>
      </w:r>
      <w:r>
        <w:rPr>
          <w:rFonts w:eastAsia="Times New Roman" w:cs="Times New Roman" w:ascii="Times New Roman" w:hAnsi="Times New Roman"/>
          <w:b/>
          <w:bCs/>
          <w:sz w:val="24"/>
          <w:szCs w:val="24"/>
          <w:lang w:val="pt-BR" w:eastAsia="pt-PT"/>
        </w:rPr>
        <w:t xml:space="preserve">1.1 </w:t>
      </w:r>
      <w:r>
        <w:rPr>
          <w:rFonts w:cs="Times New Roman" w:ascii="Times New Roman" w:hAnsi="Times New Roman"/>
          <w:b/>
          <w:bCs/>
          <w:sz w:val="24"/>
          <w:szCs w:val="24"/>
          <w:lang w:val="pt-BR"/>
        </w:rPr>
        <w:t>Nr. de Consultas</w:t>
      </w:r>
      <w:r>
        <w:rPr>
          <w:rFonts w:cs="Times New Roman" w:ascii="Times New Roman" w:hAnsi="Times New Roman"/>
          <w:b/>
          <w:sz w:val="24"/>
          <w:szCs w:val="24"/>
          <w:lang w:val="pt-BR"/>
        </w:rPr>
        <w:t xml:space="preserve"> Realizadas por Faixa Etária </w:t>
      </w:r>
      <w:r>
        <w:rPr>
          <w:rFonts w:eastAsia="Times New Roman" w:cs="Times New Roman" w:ascii="Times New Roman" w:hAnsi="Times New Roman"/>
          <w:b/>
          <w:bCs/>
          <w:sz w:val="24"/>
          <w:szCs w:val="24"/>
          <w:lang w:val="pt-BR" w:eastAsia="pt-PT"/>
        </w:rPr>
        <w:t>IONA / Janeiro 2026</w:t>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center"/>
        <w:rPr>
          <w:rFonts w:ascii="Times New Roman" w:hAnsi="Times New Roman" w:cs="Times New Roman"/>
          <w:bCs/>
          <w:sz w:val="24"/>
          <w:szCs w:val="24"/>
          <w:lang w:val="pt-BR"/>
        </w:rPr>
      </w:pPr>
      <w:r>
        <w:rPr/>
        <w:drawing>
          <wp:inline distT="0" distB="0" distL="0" distR="0">
            <wp:extent cx="4076700" cy="2000250"/>
            <wp:effectExtent l="0" t="0" r="0" b="0"/>
            <wp:docPr id="2" name="Gráfico 8"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t>Tabela  nº 1.7. Pacientes observados por Faixa Etária IONA /</w:t>
      </w:r>
      <w:r>
        <w:rPr>
          <w:rFonts w:eastAsia="Times New Roman" w:cs="Times New Roman" w:ascii="Times New Roman" w:hAnsi="Times New Roman"/>
          <w:b/>
          <w:sz w:val="24"/>
          <w:szCs w:val="24"/>
          <w:lang w:eastAsia="pt-PT"/>
        </w:rPr>
        <w:t xml:space="preserve"> Janeiro </w:t>
      </w:r>
      <w:r>
        <w:rPr>
          <w:rFonts w:cs="Times New Roman" w:ascii="Times New Roman" w:hAnsi="Times New Roman"/>
          <w:b/>
          <w:bCs/>
          <w:sz w:val="24"/>
          <w:szCs w:val="24"/>
          <w:lang w:val="pt-BR"/>
        </w:rPr>
        <w:t>2026</w:t>
      </w:r>
    </w:p>
    <w:p>
      <w:pPr>
        <w:pStyle w:val="Normal"/>
        <w:spacing w:lineRule="auto" w:line="240"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tabs>
          <w:tab w:val="clear" w:pos="708"/>
          <w:tab w:val="left" w:pos="1027" w:leader="none"/>
        </w:tabs>
        <w:spacing w:before="0" w:after="0"/>
        <w:rPr>
          <w:rFonts w:ascii="Times New Roman" w:hAnsi="Times New Roman" w:cs="Times New Roman"/>
          <w:bCs/>
          <w:sz w:val="24"/>
          <w:szCs w:val="24"/>
          <w:lang w:val="pt-BR"/>
        </w:rPr>
      </w:pPr>
      <w:r>
        <w:rPr>
          <w:rFonts w:cs="Times New Roman" w:ascii="Times New Roman" w:hAnsi="Times New Roman"/>
          <w:bCs/>
          <w:sz w:val="24"/>
          <w:szCs w:val="24"/>
          <w:lang w:val="pt-BR"/>
        </w:rPr>
        <w:t xml:space="preserve">O grupo etário mais atendido foi o dos 45-64 anos com 29% (2 411) dos casos, seguido pelo o grupo acima de 65 anos com 22% (1 846) dos casos, o que se entende por se tratar de um centro de referência. </w:t>
      </w:r>
    </w:p>
    <w:p>
      <w:pPr>
        <w:pStyle w:val="Normal"/>
        <w:tabs>
          <w:tab w:val="clear" w:pos="708"/>
          <w:tab w:val="left" w:pos="1027" w:leader="none"/>
        </w:tabs>
        <w:spacing w:before="0" w:after="0"/>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tabs>
          <w:tab w:val="clear" w:pos="708"/>
          <w:tab w:val="left" w:pos="1027" w:leader="none"/>
        </w:tabs>
        <w:spacing w:lineRule="auto" w:line="240" w:before="0" w:after="0"/>
        <w:rPr>
          <w:rFonts w:ascii="Times New Roman" w:hAnsi="Times New Roman" w:cs="Times New Roman"/>
          <w:bCs/>
          <w:color w:val="FF0000"/>
          <w:sz w:val="24"/>
          <w:szCs w:val="24"/>
          <w:lang w:val="pt-BR"/>
        </w:rPr>
      </w:pPr>
      <w:r>
        <w:rPr>
          <w:rFonts w:cs="Times New Roman" w:ascii="Times New Roman" w:hAnsi="Times New Roman"/>
          <w:bCs/>
          <w:color w:val="FF0000"/>
          <w:sz w:val="24"/>
          <w:szCs w:val="24"/>
          <w:lang w:val="pt-BR"/>
        </w:rPr>
      </w:r>
    </w:p>
    <w:tbl>
      <w:tblPr>
        <w:tblW w:w="7199"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4534"/>
        <w:gridCol w:w="1233"/>
        <w:gridCol w:w="1432"/>
      </w:tblGrid>
      <w:tr>
        <w:trPr>
          <w:trHeight w:val="414" w:hRule="atLeast"/>
        </w:trPr>
        <w:tc>
          <w:tcPr>
            <w:tcW w:w="4534" w:type="dxa"/>
            <w:tcBorders>
              <w:top w:val="single" w:sz="4" w:space="0" w:color="000000"/>
              <w:left w:val="single" w:sz="4" w:space="0" w:color="000000"/>
              <w:bottom w:val="single" w:sz="4" w:space="0" w:color="000000"/>
              <w:right w:val="single" w:sz="4" w:space="0" w:color="000000"/>
            </w:tcBorders>
            <w:shd w:color="000000" w:fill="BDD7EE" w:val="clear"/>
            <w:vAlign w:val="center"/>
          </w:tcPr>
          <w:p>
            <w:pPr>
              <w:pStyle w:val="Normal"/>
              <w:spacing w:lineRule="auto" w:line="240" w:before="0" w:after="0"/>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Faixas Etárias + Frequentes</w:t>
            </w:r>
          </w:p>
        </w:tc>
        <w:tc>
          <w:tcPr>
            <w:tcW w:w="1233" w:type="dxa"/>
            <w:tcBorders>
              <w:top w:val="single" w:sz="4" w:space="0" w:color="000000"/>
              <w:bottom w:val="single" w:sz="4" w:space="0" w:color="000000"/>
              <w:right w:val="single" w:sz="4" w:space="0" w:color="000000"/>
            </w:tcBorders>
            <w:shd w:color="000000" w:fill="BDD7EE" w:val="clear"/>
            <w:vAlign w:val="center"/>
          </w:tcPr>
          <w:p>
            <w:pPr>
              <w:pStyle w:val="Normal"/>
              <w:spacing w:lineRule="auto" w:line="240" w:before="0" w:after="0"/>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Total</w:t>
            </w:r>
          </w:p>
        </w:tc>
        <w:tc>
          <w:tcPr>
            <w:tcW w:w="1432"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w:t>
            </w:r>
          </w:p>
        </w:tc>
      </w:tr>
      <w:tr>
        <w:trPr>
          <w:trHeight w:val="414" w:hRule="atLeast"/>
        </w:trPr>
        <w:tc>
          <w:tcPr>
            <w:tcW w:w="4534" w:type="dxa"/>
            <w:tcBorders>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25-44 A</w:t>
            </w:r>
          </w:p>
        </w:tc>
        <w:tc>
          <w:tcPr>
            <w:tcW w:w="1233" w:type="dxa"/>
            <w:tcBorders>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1 491</w:t>
            </w:r>
          </w:p>
        </w:tc>
        <w:tc>
          <w:tcPr>
            <w:tcW w:w="1432" w:type="dxa"/>
            <w:tcBorders>
              <w:bottom w:val="single" w:sz="4" w:space="0" w:color="000000"/>
              <w:right w:val="single" w:sz="4" w:space="0" w:color="000000"/>
            </w:tcBorders>
            <w:vAlign w:val="bottom"/>
          </w:tcPr>
          <w:p>
            <w:pPr>
              <w:pStyle w:val="Normal"/>
              <w:spacing w:lineRule="auto" w:line="240" w:before="0" w:after="0"/>
              <w:jc w:val="center"/>
              <w:rPr>
                <w:rFonts w:ascii="Calibri" w:hAnsi="Calibri" w:eastAsia="Times New Roman" w:cs="Calibri"/>
                <w:lang w:eastAsia="pt-PT"/>
              </w:rPr>
            </w:pPr>
            <w:r>
              <w:rPr>
                <w:rFonts w:eastAsia="Times New Roman" w:cs="Calibri" w:ascii="Calibri" w:hAnsi="Calibri"/>
                <w:lang w:eastAsia="pt-PT"/>
              </w:rPr>
              <w:t>18</w:t>
            </w:r>
          </w:p>
        </w:tc>
      </w:tr>
      <w:tr>
        <w:trPr>
          <w:trHeight w:val="414" w:hRule="atLeast"/>
        </w:trPr>
        <w:tc>
          <w:tcPr>
            <w:tcW w:w="4534" w:type="dxa"/>
            <w:tcBorders>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45-64 A</w:t>
            </w:r>
          </w:p>
        </w:tc>
        <w:tc>
          <w:tcPr>
            <w:tcW w:w="1233" w:type="dxa"/>
            <w:tcBorders>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2 411</w:t>
            </w:r>
          </w:p>
        </w:tc>
        <w:tc>
          <w:tcPr>
            <w:tcW w:w="1432" w:type="dxa"/>
            <w:tcBorders>
              <w:bottom w:val="single" w:sz="4" w:space="0" w:color="000000"/>
              <w:right w:val="single" w:sz="4" w:space="0" w:color="000000"/>
            </w:tcBorders>
            <w:vAlign w:val="bottom"/>
          </w:tcPr>
          <w:p>
            <w:pPr>
              <w:pStyle w:val="Normal"/>
              <w:spacing w:lineRule="auto" w:line="240" w:before="0" w:after="0"/>
              <w:jc w:val="center"/>
              <w:rPr>
                <w:rFonts w:ascii="Calibri" w:hAnsi="Calibri" w:eastAsia="Times New Roman" w:cs="Calibri"/>
                <w:lang w:eastAsia="pt-PT"/>
              </w:rPr>
            </w:pPr>
            <w:r>
              <w:rPr>
                <w:rFonts w:eastAsia="Times New Roman" w:cs="Calibri" w:ascii="Calibri" w:hAnsi="Calibri"/>
                <w:lang w:eastAsia="pt-PT"/>
              </w:rPr>
              <w:t>29</w:t>
            </w:r>
          </w:p>
        </w:tc>
      </w:tr>
      <w:tr>
        <w:trPr>
          <w:trHeight w:val="414" w:hRule="atLeast"/>
        </w:trPr>
        <w:tc>
          <w:tcPr>
            <w:tcW w:w="4534" w:type="dxa"/>
            <w:tcBorders>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65A +</w:t>
            </w:r>
          </w:p>
        </w:tc>
        <w:tc>
          <w:tcPr>
            <w:tcW w:w="1233" w:type="dxa"/>
            <w:tcBorders>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1 846</w:t>
            </w:r>
          </w:p>
        </w:tc>
        <w:tc>
          <w:tcPr>
            <w:tcW w:w="1432" w:type="dxa"/>
            <w:tcBorders>
              <w:bottom w:val="single" w:sz="4" w:space="0" w:color="000000"/>
              <w:right w:val="single" w:sz="4" w:space="0" w:color="000000"/>
            </w:tcBorders>
            <w:vAlign w:val="bottom"/>
          </w:tcPr>
          <w:p>
            <w:pPr>
              <w:pStyle w:val="Normal"/>
              <w:spacing w:lineRule="auto" w:line="240" w:before="0" w:after="0"/>
              <w:jc w:val="center"/>
              <w:rPr>
                <w:rFonts w:ascii="Calibri" w:hAnsi="Calibri" w:eastAsia="Times New Roman" w:cs="Calibri"/>
                <w:lang w:eastAsia="pt-PT"/>
              </w:rPr>
            </w:pPr>
            <w:r>
              <w:rPr>
                <w:rFonts w:eastAsia="Times New Roman" w:cs="Calibri" w:ascii="Calibri" w:hAnsi="Calibri"/>
                <w:lang w:eastAsia="pt-PT"/>
              </w:rPr>
              <w:t>22</w:t>
            </w:r>
          </w:p>
        </w:tc>
      </w:tr>
      <w:tr>
        <w:trPr>
          <w:trHeight w:val="414" w:hRule="atLeast"/>
        </w:trPr>
        <w:tc>
          <w:tcPr>
            <w:tcW w:w="4534" w:type="dxa"/>
            <w:tcBorders>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Outros</w:t>
            </w:r>
          </w:p>
        </w:tc>
        <w:tc>
          <w:tcPr>
            <w:tcW w:w="1233" w:type="dxa"/>
            <w:tcBorders>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2 565</w:t>
            </w:r>
          </w:p>
        </w:tc>
        <w:tc>
          <w:tcPr>
            <w:tcW w:w="1432" w:type="dxa"/>
            <w:tcBorders>
              <w:bottom w:val="single" w:sz="4" w:space="0" w:color="000000"/>
              <w:right w:val="single" w:sz="4" w:space="0" w:color="000000"/>
            </w:tcBorders>
            <w:vAlign w:val="bottom"/>
          </w:tcPr>
          <w:p>
            <w:pPr>
              <w:pStyle w:val="Normal"/>
              <w:spacing w:lineRule="auto" w:line="240" w:before="0" w:after="0"/>
              <w:jc w:val="center"/>
              <w:rPr>
                <w:rFonts w:ascii="Calibri" w:hAnsi="Calibri" w:eastAsia="Times New Roman" w:cs="Calibri"/>
                <w:lang w:eastAsia="pt-PT"/>
              </w:rPr>
            </w:pPr>
            <w:r>
              <w:rPr>
                <w:rFonts w:eastAsia="Times New Roman" w:cs="Calibri" w:ascii="Calibri" w:hAnsi="Calibri"/>
                <w:lang w:eastAsia="pt-PT"/>
              </w:rPr>
              <w:t>31</w:t>
            </w:r>
          </w:p>
        </w:tc>
      </w:tr>
      <w:tr>
        <w:trPr>
          <w:trHeight w:val="414" w:hRule="atLeast"/>
        </w:trPr>
        <w:tc>
          <w:tcPr>
            <w:tcW w:w="4534" w:type="dxa"/>
            <w:tcBorders>
              <w:left w:val="single" w:sz="4" w:space="0" w:color="000000"/>
              <w:bottom w:val="single" w:sz="4" w:space="0" w:color="000000"/>
              <w:right w:val="single" w:sz="4" w:space="0" w:color="000000"/>
            </w:tcBorders>
            <w:shd w:color="000000" w:fill="BDD7EE" w:val="clear"/>
            <w:vAlign w:val="center"/>
          </w:tcPr>
          <w:p>
            <w:pPr>
              <w:pStyle w:val="Normal"/>
              <w:spacing w:lineRule="auto" w:line="240" w:before="0" w:after="0"/>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Total</w:t>
            </w:r>
          </w:p>
        </w:tc>
        <w:tc>
          <w:tcPr>
            <w:tcW w:w="1233" w:type="dxa"/>
            <w:tcBorders>
              <w:bottom w:val="single" w:sz="4" w:space="0" w:color="000000"/>
              <w:right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8 313</w:t>
            </w:r>
          </w:p>
        </w:tc>
        <w:tc>
          <w:tcPr>
            <w:tcW w:w="1432"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100</w:t>
            </w:r>
          </w:p>
        </w:tc>
      </w:tr>
    </w:tbl>
    <w:p>
      <w:pPr>
        <w:pStyle w:val="Normal"/>
        <w:spacing w:lineRule="auto" w:line="240" w:before="0" w:after="0"/>
        <w:jc w:val="both"/>
        <w:rPr>
          <w:rFonts w:ascii="Times New Roman" w:hAnsi="Times New Roman" w:cs="Times New Roman"/>
          <w:sz w:val="24"/>
          <w:szCs w:val="24"/>
          <w:lang w:val="pt-BR" w:eastAsia="pt-PT"/>
        </w:rPr>
      </w:pPr>
      <w:r>
        <w:rPr>
          <w:rFonts w:cs="Times New Roman" w:ascii="Times New Roman" w:hAnsi="Times New Roman"/>
          <w:sz w:val="24"/>
          <w:szCs w:val="24"/>
          <w:lang w:val="pt-BR" w:eastAsia="pt-PT"/>
        </w:rPr>
      </w:r>
    </w:p>
    <w:p>
      <w:pPr>
        <w:pStyle w:val="Normal"/>
        <w:spacing w:lineRule="auto" w:line="240" w:before="0" w:after="0"/>
        <w:jc w:val="both"/>
        <w:rPr>
          <w:rFonts w:ascii="Times New Roman" w:hAnsi="Times New Roman" w:eastAsia="SimSun" w:cs="Times New Roman"/>
          <w:sz w:val="24"/>
          <w:szCs w:val="24"/>
          <w:lang w:val="pt-BR" w:eastAsia="pt-BR"/>
        </w:rPr>
      </w:pPr>
      <w:r>
        <w:fldChar w:fldCharType="begin"/>
      </w:r>
      <w:r>
        <w:rPr>
          <w:sz w:val="24"/>
          <w:szCs w:val="24"/>
          <w:rFonts w:cs="Times New Roman" w:ascii="Times New Roman" w:hAnsi="Times New Roman"/>
          <w:lang w:val="pt-BR" w:eastAsia="pt-PT"/>
        </w:rPr>
        <w:instrText xml:space="preserve">LINK Excel.Sheet.12 "C:\\Users\\Otaln\\OneDrive\\Desktop\\ESTATÍSTICA DE 2025\\ESTATÍSTICA ANUAL\\ESTATÍSTICA ANUAL MINSA.xlsx" INDICADORES!L43C3:L48C5 \a \f 4 \h  \* MERGEFORMAT</w:instrText>
      </w:r>
      <w:r>
        <w:rPr>
          <w:rFonts w:cs="Times New Roman" w:ascii="Times New Roman" w:hAnsi="Times New Roman"/>
          <w:sz w:val="24"/>
          <w:szCs w:val="24"/>
          <w:lang w:val="pt-BR" w:eastAsia="pt-PT"/>
        </w:rPr>
      </w:r>
      <w:r>
        <w:rPr>
          <w:sz w:val="24"/>
          <w:szCs w:val="24"/>
          <w:rFonts w:cs="Times New Roman" w:ascii="Times New Roman" w:hAnsi="Times New Roman"/>
          <w:lang w:val="pt-BR" w:eastAsia="pt-PT"/>
        </w:rPr>
        <w:fldChar w:fldCharType="separate"/>
      </w:r>
      <w:r/>
      <w:r>
        <w:rPr>
          <w:rFonts w:cs="Times New Roman" w:ascii="Times New Roman" w:hAnsi="Times New Roman"/>
          <w:sz w:val="24"/>
          <w:szCs w:val="24"/>
          <w:lang w:val="pt-BR" w:eastAsia="pt-PT"/>
        </w:rPr>
      </w:r>
    </w:p>
    <w:p>
      <w:pPr>
        <w:pStyle w:val="Normal"/>
        <w:spacing w:lineRule="auto" w:line="240" w:before="0" w:after="0"/>
        <w:jc w:val="both"/>
        <w:rPr>
          <w:rFonts w:ascii="Times New Roman" w:hAnsi="Times New Roman" w:eastAsia="Times New Roman" w:cs="Times New Roman"/>
          <w:b/>
          <w:bCs/>
          <w:sz w:val="24"/>
          <w:szCs w:val="24"/>
          <w:lang w:val="pt-BR" w:eastAsia="pt-PT"/>
        </w:rPr>
      </w:pPr>
      <w:r>
        <w:rPr>
          <w:rFonts w:cs="Times New Roman" w:ascii="Times New Roman" w:hAnsi="Times New Roman"/>
          <w:sz w:val="24"/>
          <w:szCs w:val="24"/>
          <w:lang w:val="pt-BR" w:eastAsia="pt-PT"/>
        </w:rPr>
      </w:r>
      <w:r>
        <w:rPr>
          <w:sz w:val="24"/>
          <w:szCs w:val="24"/>
          <w:rFonts w:cs="Times New Roman" w:ascii="Times New Roman" w:hAnsi="Times New Roman"/>
          <w:lang w:val="pt-BR" w:eastAsia="pt-PT"/>
        </w:rPr>
        <w:fldChar w:fldCharType="end"/>
      </w:r>
      <w:r>
        <w:rPr>
          <w:rFonts w:eastAsia="Times New Roman" w:cs="Times New Roman" w:ascii="Times New Roman" w:hAnsi="Times New Roman"/>
          <w:b/>
          <w:bCs/>
          <w:sz w:val="24"/>
          <w:szCs w:val="24"/>
          <w:lang w:val="pt-BR" w:eastAsia="pt-PT"/>
        </w:rPr>
        <w:t xml:space="preserve">Gráfico </w:t>
      </w:r>
      <w:r>
        <w:rPr>
          <w:rFonts w:cs="Times New Roman" w:ascii="Times New Roman" w:hAnsi="Times New Roman"/>
          <w:b/>
          <w:sz w:val="24"/>
          <w:szCs w:val="24"/>
          <w:lang w:val="pt-BR"/>
        </w:rPr>
        <w:t xml:space="preserve">nº </w:t>
      </w:r>
      <w:r>
        <w:rPr>
          <w:rFonts w:eastAsia="Times New Roman" w:cs="Times New Roman" w:ascii="Times New Roman" w:hAnsi="Times New Roman"/>
          <w:b/>
          <w:bCs/>
          <w:sz w:val="24"/>
          <w:szCs w:val="24"/>
          <w:lang w:val="pt-BR" w:eastAsia="pt-PT"/>
        </w:rPr>
        <w:t>1.2 Pacientes Observados por Faixa Etária IONA / Janeiro 2026</w:t>
      </w:r>
    </w:p>
    <w:p>
      <w:pPr>
        <w:pStyle w:val="Normal"/>
        <w:spacing w:lineRule="auto" w:line="240" w:before="0" w:after="0"/>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spacing w:lineRule="auto" w:line="240" w:before="0" w:after="0"/>
        <w:jc w:val="center"/>
        <w:rPr>
          <w:rFonts w:ascii="Times New Roman" w:hAnsi="Times New Roman" w:eastAsia="Times New Roman" w:cs="Times New Roman"/>
          <w:b/>
          <w:color w:val="FF0000"/>
          <w:sz w:val="24"/>
          <w:szCs w:val="24"/>
          <w:lang w:val="pt-BR" w:eastAsia="pt-PT"/>
        </w:rPr>
      </w:pPr>
      <w:r>
        <w:rPr>
          <w:rFonts w:eastAsia="Times New Roman" w:cs="Times New Roman" w:ascii="Times New Roman" w:hAnsi="Times New Roman"/>
          <w:b/>
          <w:color w:val="FF0000"/>
          <w:sz w:val="24"/>
          <w:szCs w:val="24"/>
          <w:lang w:val="pt-BR" w:eastAsia="pt-PT"/>
        </w:rPr>
      </w:r>
    </w:p>
    <w:p>
      <w:pPr>
        <w:pStyle w:val="Normal"/>
        <w:tabs>
          <w:tab w:val="clear" w:pos="708"/>
          <w:tab w:val="left" w:pos="2280" w:leader="none"/>
        </w:tabs>
        <w:spacing w:lineRule="auto" w:line="240" w:before="0" w:after="0"/>
        <w:jc w:val="center"/>
        <w:rPr>
          <w:rFonts w:ascii="Times New Roman" w:hAnsi="Times New Roman" w:cs="Times New Roman"/>
          <w:bCs/>
          <w:color w:val="FF0000"/>
          <w:sz w:val="24"/>
          <w:szCs w:val="24"/>
          <w:lang w:val="pt-BR"/>
        </w:rPr>
      </w:pPr>
      <w:r>
        <w:rPr/>
        <w:drawing>
          <wp:inline distT="0" distB="0" distL="0" distR="0">
            <wp:extent cx="3514725" cy="2619375"/>
            <wp:effectExtent l="0" t="0" r="0" b="0"/>
            <wp:docPr id="3" name="Gráfico 9"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t xml:space="preserve">Tabela </w:t>
      </w:r>
      <w:r>
        <w:rPr>
          <w:rFonts w:cs="Times New Roman" w:ascii="Times New Roman" w:hAnsi="Times New Roman"/>
          <w:b/>
          <w:sz w:val="24"/>
          <w:szCs w:val="24"/>
          <w:lang w:val="pt-BR"/>
        </w:rPr>
        <w:t xml:space="preserve">nº </w:t>
      </w:r>
      <w:r>
        <w:rPr>
          <w:rFonts w:eastAsia="Times New Roman" w:cs="Times New Roman" w:ascii="Times New Roman" w:hAnsi="Times New Roman"/>
          <w:b/>
          <w:sz w:val="24"/>
          <w:szCs w:val="24"/>
          <w:lang w:val="pt-BR" w:eastAsia="pt-PT"/>
        </w:rPr>
        <w:t xml:space="preserve">2. Patologias mais Frequentes </w:t>
      </w:r>
      <w:r>
        <w:rPr>
          <w:rFonts w:eastAsia="Times New Roman" w:cs="Times New Roman" w:ascii="Times New Roman" w:hAnsi="Times New Roman"/>
          <w:b/>
          <w:bCs/>
          <w:sz w:val="24"/>
          <w:szCs w:val="24"/>
          <w:lang w:val="pt-BR" w:eastAsia="pt-PT"/>
        </w:rPr>
        <w:t>IONA/ Janeiro 2026</w:t>
      </w:r>
    </w:p>
    <w:p>
      <w:pPr>
        <w:pStyle w:val="Normal"/>
        <w:spacing w:lineRule="auto" w:line="240" w:before="0" w:after="0"/>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spacing w:before="0" w:after="0"/>
        <w:jc w:val="both"/>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Destacam-se em primeiro lugar as alterações do cristalino com  29% dos casos, seguindo-se as ametropias com 17% e as alterações da conjuntiva com 15%. De realçar que as 2 últimas deveriam  ser observadas a nível primário. Segue-se o Glaucoma com 9% e os Traumatismos Oculares com 6%.</w:t>
      </w:r>
    </w:p>
    <w:p>
      <w:pPr>
        <w:pStyle w:val="Normal"/>
        <w:spacing w:before="0" w:after="0"/>
        <w:jc w:val="both"/>
        <w:rPr>
          <w:rFonts w:ascii="Times New Roman" w:hAnsi="Times New Roman" w:eastAsia="Times New Roman" w:cs="Times New Roman"/>
          <w:color w:val="FF0000"/>
          <w:sz w:val="24"/>
          <w:szCs w:val="24"/>
          <w:lang w:eastAsia="pt-PT"/>
        </w:rPr>
      </w:pPr>
      <w:r>
        <w:rPr>
          <w:rFonts w:eastAsia="Times New Roman" w:cs="Times New Roman" w:ascii="Times New Roman" w:hAnsi="Times New Roman"/>
          <w:color w:val="FF0000"/>
          <w:sz w:val="24"/>
          <w:szCs w:val="24"/>
          <w:lang w:eastAsia="pt-PT"/>
        </w:rPr>
      </w:r>
    </w:p>
    <w:tbl>
      <w:tblPr>
        <w:tblW w:w="7024" w:type="dxa"/>
        <w:jc w:val="left"/>
        <w:tblInd w:w="453" w:type="dxa"/>
        <w:tblLayout w:type="fixed"/>
        <w:tblCellMar>
          <w:top w:w="0" w:type="dxa"/>
          <w:left w:w="70" w:type="dxa"/>
          <w:bottom w:w="0" w:type="dxa"/>
          <w:right w:w="70" w:type="dxa"/>
        </w:tblCellMar>
        <w:tblLook w:val="04a0" w:noHBand="0" w:noVBand="1" w:firstColumn="1" w:lastRow="0" w:lastColumn="0" w:firstRow="1"/>
      </w:tblPr>
      <w:tblGrid>
        <w:gridCol w:w="4602"/>
        <w:gridCol w:w="1251"/>
        <w:gridCol w:w="1171"/>
      </w:tblGrid>
      <w:tr>
        <w:trPr>
          <w:trHeight w:val="530" w:hRule="atLeast"/>
        </w:trPr>
        <w:tc>
          <w:tcPr>
            <w:tcW w:w="4602" w:type="dxa"/>
            <w:tcBorders>
              <w:top w:val="single" w:sz="4" w:space="0" w:color="000000"/>
              <w:left w:val="single" w:sz="4" w:space="0" w:color="000000"/>
              <w:bottom w:val="single" w:sz="4" w:space="0" w:color="000000"/>
              <w:right w:val="single" w:sz="4" w:space="0" w:color="000000"/>
            </w:tcBorders>
            <w:shd w:color="000000" w:fill="9BC2E6"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 xml:space="preserve">      </w:t>
            </w:r>
            <w:r>
              <w:rPr>
                <w:rFonts w:eastAsia="Times New Roman" w:cs="Times New Roman" w:ascii="Times New Roman" w:hAnsi="Times New Roman"/>
                <w:b/>
                <w:bCs/>
                <w:lang w:eastAsia="pt-PT"/>
              </w:rPr>
              <w:t>Patologias</w:t>
            </w:r>
          </w:p>
        </w:tc>
        <w:tc>
          <w:tcPr>
            <w:tcW w:w="1251" w:type="dxa"/>
            <w:tcBorders>
              <w:top w:val="single" w:sz="4" w:space="0" w:color="000000"/>
              <w:bottom w:val="single" w:sz="4" w:space="0" w:color="000000"/>
              <w:right w:val="single" w:sz="4" w:space="0" w:color="000000"/>
            </w:tcBorders>
            <w:shd w:color="000000" w:fill="9BC2E6" w:val="clear"/>
            <w:vAlign w:val="bottom"/>
          </w:tcPr>
          <w:p>
            <w:pPr>
              <w:pStyle w:val="Normal"/>
              <w:spacing w:lineRule="auto" w:line="240" w:before="0" w:after="0"/>
              <w:jc w:val="center"/>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Total</w:t>
            </w:r>
          </w:p>
        </w:tc>
        <w:tc>
          <w:tcPr>
            <w:tcW w:w="1171" w:type="dxa"/>
            <w:tcBorders>
              <w:top w:val="single" w:sz="4" w:space="0" w:color="000000"/>
              <w:bottom w:val="single" w:sz="4" w:space="0" w:color="000000"/>
              <w:right w:val="single" w:sz="4" w:space="0" w:color="000000"/>
            </w:tcBorders>
            <w:shd w:color="000000" w:fill="9BC2E6" w:val="clear"/>
            <w:vAlign w:val="bottom"/>
          </w:tcPr>
          <w:p>
            <w:pPr>
              <w:pStyle w:val="Normal"/>
              <w:spacing w:lineRule="auto" w:line="240" w:before="0" w:after="0"/>
              <w:jc w:val="center"/>
              <w:rPr>
                <w:rFonts w:ascii="Calibri" w:hAnsi="Calibri" w:eastAsia="Times New Roman" w:cs="Calibri"/>
                <w:b/>
                <w:bCs/>
                <w:color w:val="000000"/>
                <w:lang w:eastAsia="pt-PT"/>
              </w:rPr>
            </w:pPr>
            <w:r>
              <w:rPr>
                <w:rFonts w:eastAsia="Times New Roman" w:cs="Calibri" w:ascii="Calibri" w:hAnsi="Calibri"/>
                <w:b/>
                <w:bCs/>
                <w:color w:val="000000"/>
                <w:lang w:eastAsia="pt-PT"/>
              </w:rPr>
              <w:t>%</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lang w:eastAsia="pt-PT"/>
              </w:rPr>
            </w:pPr>
            <w:r>
              <w:rPr>
                <w:rFonts w:eastAsia="Times New Roman" w:cs="Times New Roman" w:ascii="Times New Roman" w:hAnsi="Times New Roman"/>
                <w:bCs/>
                <w:lang w:eastAsia="pt-PT"/>
              </w:rPr>
              <w:t>Ametropia</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1 695</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17</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Aparelho lacrimal</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18</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0</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lang w:eastAsia="pt-PT"/>
              </w:rPr>
            </w:pPr>
            <w:r>
              <w:rPr>
                <w:rFonts w:eastAsia="Times New Roman" w:cs="Times New Roman" w:ascii="Times New Roman" w:hAnsi="Times New Roman"/>
                <w:bCs/>
                <w:lang w:eastAsia="pt-PT"/>
              </w:rPr>
              <w:t>Conjuntivas</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1 455</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15</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lang w:eastAsia="pt-PT"/>
              </w:rPr>
            </w:pPr>
            <w:r>
              <w:rPr>
                <w:rFonts w:eastAsia="Times New Roman" w:cs="Times New Roman" w:ascii="Times New Roman" w:hAnsi="Times New Roman"/>
                <w:bCs/>
                <w:lang w:eastAsia="pt-PT"/>
              </w:rPr>
              <w:t>Cristalino</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2 847</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29</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Esclerótica</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35</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0</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lang w:eastAsia="pt-PT"/>
              </w:rPr>
            </w:pPr>
            <w:r>
              <w:rPr>
                <w:rFonts w:eastAsia="Times New Roman" w:cs="Times New Roman" w:ascii="Times New Roman" w:hAnsi="Times New Roman"/>
                <w:bCs/>
                <w:lang w:eastAsia="pt-PT"/>
              </w:rPr>
              <w:t>Estrabismo</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281</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3</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lang w:eastAsia="pt-PT"/>
              </w:rPr>
            </w:pPr>
            <w:r>
              <w:rPr>
                <w:rFonts w:eastAsia="Times New Roman" w:cs="Times New Roman" w:ascii="Times New Roman" w:hAnsi="Times New Roman"/>
                <w:bCs/>
                <w:lang w:eastAsia="pt-PT"/>
              </w:rPr>
              <w:t>Glaucoma</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893</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9</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lang w:eastAsia="pt-PT"/>
              </w:rPr>
            </w:pPr>
            <w:r>
              <w:rPr>
                <w:rFonts w:eastAsia="Times New Roman" w:cs="Times New Roman" w:ascii="Times New Roman" w:hAnsi="Times New Roman"/>
                <w:bCs/>
                <w:lang w:eastAsia="pt-PT"/>
              </w:rPr>
              <w:t>Nervo Óptico</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lang w:eastAsia="pt-PT"/>
              </w:rPr>
            </w:pPr>
            <w:r>
              <w:rPr>
                <w:rFonts w:eastAsia="Times New Roman" w:cs="Times New Roman" w:ascii="Times New Roman" w:hAnsi="Times New Roman"/>
                <w:bCs/>
                <w:lang w:eastAsia="pt-PT"/>
              </w:rPr>
              <w:t>4</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0</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lang w:eastAsia="pt-PT"/>
              </w:rPr>
            </w:pPr>
            <w:r>
              <w:rPr>
                <w:rFonts w:eastAsia="Times New Roman" w:cs="Times New Roman" w:ascii="Times New Roman" w:hAnsi="Times New Roman"/>
                <w:bCs/>
                <w:lang w:eastAsia="pt-PT"/>
              </w:rPr>
              <w:t>Pálpebras</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402</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4</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lang w:eastAsia="pt-PT"/>
              </w:rPr>
            </w:pPr>
            <w:r>
              <w:rPr>
                <w:rFonts w:eastAsia="Times New Roman" w:cs="Times New Roman" w:ascii="Times New Roman" w:hAnsi="Times New Roman"/>
                <w:bCs/>
                <w:lang w:eastAsia="pt-PT"/>
              </w:rPr>
              <w:t>Retina</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lang w:eastAsia="pt-PT"/>
              </w:rPr>
            </w:pPr>
            <w:r>
              <w:rPr>
                <w:rFonts w:eastAsia="Times New Roman" w:cs="Times New Roman" w:ascii="Times New Roman" w:hAnsi="Times New Roman"/>
                <w:bCs/>
                <w:lang w:eastAsia="pt-PT"/>
              </w:rPr>
              <w:t>531</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5</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T.Visual e cegueira</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52</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lang w:eastAsia="pt-PT"/>
              </w:rPr>
            </w:pPr>
            <w:r>
              <w:rPr>
                <w:rFonts w:eastAsia="Times New Roman" w:cs="Times New Roman" w:ascii="Times New Roman" w:hAnsi="Times New Roman"/>
                <w:bCs/>
                <w:lang w:eastAsia="pt-PT"/>
              </w:rPr>
              <w:t>Trans.da córnea</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563</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6</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lang w:eastAsia="pt-PT"/>
              </w:rPr>
            </w:pPr>
            <w:r>
              <w:rPr>
                <w:rFonts w:eastAsia="Times New Roman" w:cs="Times New Roman" w:ascii="Times New Roman" w:hAnsi="Times New Roman"/>
                <w:bCs/>
                <w:lang w:eastAsia="pt-PT"/>
              </w:rPr>
              <w:t>Trans. Órbita</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135</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lang w:eastAsia="pt-PT"/>
              </w:rPr>
            </w:pPr>
            <w:r>
              <w:rPr>
                <w:rFonts w:eastAsia="Times New Roman" w:cs="Times New Roman" w:ascii="Times New Roman" w:hAnsi="Times New Roman"/>
                <w:bCs/>
                <w:lang w:eastAsia="pt-PT"/>
              </w:rPr>
              <w:t>Trans. Úvea</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143</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lang w:eastAsia="pt-PT"/>
              </w:rPr>
            </w:pPr>
            <w:r>
              <w:rPr>
                <w:rFonts w:eastAsia="Times New Roman" w:cs="Times New Roman" w:ascii="Times New Roman" w:hAnsi="Times New Roman"/>
                <w:bCs/>
                <w:lang w:eastAsia="pt-PT"/>
              </w:rPr>
              <w:t>Traumatismo</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580</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6</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Cs/>
                <w:lang w:eastAsia="pt-PT"/>
              </w:rPr>
            </w:pPr>
            <w:r>
              <w:rPr>
                <w:rFonts w:eastAsia="Times New Roman" w:cs="Times New Roman" w:ascii="Times New Roman" w:hAnsi="Times New Roman"/>
                <w:bCs/>
                <w:lang w:eastAsia="pt-PT"/>
              </w:rPr>
              <w:t>Tumores</w:t>
            </w:r>
          </w:p>
        </w:tc>
        <w:tc>
          <w:tcPr>
            <w:tcW w:w="1251" w:type="dxa"/>
            <w:tcBorders>
              <w:bottom w:val="single" w:sz="4" w:space="0" w:color="000000"/>
              <w:right w:val="single" w:sz="8" w:space="0" w:color="000000"/>
            </w:tcBorders>
            <w:shd w:color="000000" w:fill="FFFFFF" w:val="clear"/>
            <w:vAlign w:val="center"/>
          </w:tcPr>
          <w:p>
            <w:pPr>
              <w:pStyle w:val="Normal"/>
              <w:spacing w:lineRule="auto" w:line="240" w:before="0" w:after="0"/>
              <w:jc w:val="center"/>
              <w:rPr>
                <w:rFonts w:ascii="Times New Roman" w:hAnsi="Times New Roman" w:eastAsia="Times New Roman" w:cs="Times New Roman"/>
                <w:bCs/>
                <w:color w:val="000000"/>
                <w:lang w:eastAsia="pt-PT"/>
              </w:rPr>
            </w:pPr>
            <w:r>
              <w:rPr>
                <w:rFonts w:eastAsia="Times New Roman" w:cs="Times New Roman" w:ascii="Times New Roman" w:hAnsi="Times New Roman"/>
                <w:bCs/>
                <w:color w:val="000000"/>
                <w:lang w:eastAsia="pt-PT"/>
              </w:rPr>
              <w:t>68</w:t>
            </w:r>
          </w:p>
        </w:tc>
        <w:tc>
          <w:tcPr>
            <w:tcW w:w="1171"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w:t>
            </w:r>
          </w:p>
        </w:tc>
      </w:tr>
      <w:tr>
        <w:trPr>
          <w:trHeight w:val="331" w:hRule="atLeast"/>
        </w:trPr>
        <w:tc>
          <w:tcPr>
            <w:tcW w:w="460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Total</w:t>
            </w:r>
          </w:p>
        </w:tc>
        <w:tc>
          <w:tcPr>
            <w:tcW w:w="1251" w:type="dxa"/>
            <w:tcBorders>
              <w:bottom w:val="single" w:sz="4" w:space="0" w:color="000000"/>
              <w:right w:val="single" w:sz="4" w:space="0" w:color="000000"/>
            </w:tcBorders>
            <w:shd w:color="000000" w:fill="9BC2E6" w:val="clear"/>
            <w:vAlign w:val="center"/>
          </w:tcPr>
          <w:p>
            <w:pPr>
              <w:pStyle w:val="Normal"/>
              <w:spacing w:lineRule="auto" w:line="240" w:before="0" w:after="0"/>
              <w:jc w:val="center"/>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9 702</w:t>
            </w:r>
          </w:p>
        </w:tc>
        <w:tc>
          <w:tcPr>
            <w:tcW w:w="1171" w:type="dxa"/>
            <w:tcBorders>
              <w:bottom w:val="single" w:sz="4" w:space="0" w:color="000000"/>
              <w:right w:val="single" w:sz="4" w:space="0" w:color="000000"/>
            </w:tcBorders>
            <w:shd w:color="000000" w:fill="9BC2E6" w:val="clear"/>
            <w:vAlign w:val="bottom"/>
          </w:tcPr>
          <w:p>
            <w:pPr>
              <w:pStyle w:val="Normal"/>
              <w:spacing w:lineRule="auto" w:line="240" w:before="0" w:after="0"/>
              <w:jc w:val="center"/>
              <w:rPr>
                <w:rFonts w:ascii="Times New Roman" w:hAnsi="Times New Roman" w:eastAsia="Times New Roman" w:cs="Times New Roman"/>
                <w:b/>
                <w:color w:val="000000"/>
                <w:lang w:eastAsia="pt-PT"/>
              </w:rPr>
            </w:pPr>
            <w:r>
              <w:rPr>
                <w:rFonts w:eastAsia="Times New Roman" w:cs="Times New Roman" w:ascii="Times New Roman" w:hAnsi="Times New Roman"/>
                <w:b/>
                <w:color w:val="000000"/>
                <w:lang w:eastAsia="pt-PT"/>
              </w:rPr>
              <w:t>100</w:t>
            </w:r>
          </w:p>
        </w:tc>
      </w:tr>
    </w:tbl>
    <w:p>
      <w:pPr>
        <w:pStyle w:val="Normal"/>
        <w:spacing w:before="0" w:after="0"/>
        <w:jc w:val="both"/>
        <w:rPr>
          <w:rFonts w:ascii="Times New Roman" w:hAnsi="Times New Roman" w:eastAsia="Times New Roman" w:cs="Times New Roman"/>
          <w:color w:val="FF0000"/>
          <w:sz w:val="24"/>
          <w:szCs w:val="24"/>
          <w:lang w:eastAsia="pt-PT"/>
        </w:rPr>
      </w:pPr>
      <w:r>
        <w:rPr>
          <w:rFonts w:eastAsia="Times New Roman" w:cs="Times New Roman" w:ascii="Times New Roman" w:hAnsi="Times New Roman"/>
          <w:color w:val="FF0000"/>
          <w:sz w:val="24"/>
          <w:szCs w:val="24"/>
          <w:lang w:eastAsia="pt-PT"/>
        </w:rPr>
      </w:r>
    </w:p>
    <w:p>
      <w:pPr>
        <w:pStyle w:val="Normal"/>
        <w:spacing w:before="0" w:after="0"/>
        <w:jc w:val="both"/>
        <w:rPr>
          <w:rFonts w:ascii="Times New Roman" w:hAnsi="Times New Roman" w:eastAsia="Times New Roman" w:cs="Times New Roman"/>
          <w:color w:val="FF0000"/>
          <w:sz w:val="24"/>
          <w:szCs w:val="24"/>
          <w:lang w:eastAsia="pt-PT"/>
        </w:rPr>
      </w:pPr>
      <w:r>
        <w:rPr>
          <w:rFonts w:eastAsia="Times New Roman" w:cs="Times New Roman" w:ascii="Times New Roman" w:hAnsi="Times New Roman"/>
          <w:color w:val="FF0000"/>
          <w:sz w:val="24"/>
          <w:szCs w:val="24"/>
          <w:lang w:eastAsia="pt-PT"/>
        </w:rPr>
      </w:r>
    </w:p>
    <w:p>
      <w:pPr>
        <w:pStyle w:val="Normal"/>
        <w:spacing w:lineRule="auto" w:line="240" w:before="0" w:after="0"/>
        <w:rPr>
          <w:rFonts w:ascii="Times New Roman" w:hAnsi="Times New Roman" w:cs="Times New Roman"/>
          <w:bCs/>
          <w:sz w:val="24"/>
          <w:szCs w:val="24"/>
          <w:lang w:val="pt-BR"/>
        </w:rPr>
      </w:pPr>
      <w:r>
        <w:rPr>
          <w:rFonts w:eastAsia="Times New Roman" w:cs="Times New Roman" w:ascii="Times New Roman" w:hAnsi="Times New Roman"/>
          <w:b/>
          <w:bCs/>
          <w:sz w:val="24"/>
          <w:szCs w:val="24"/>
          <w:lang w:val="pt-BR" w:eastAsia="pt-PT"/>
        </w:rPr>
        <w:t xml:space="preserve">Gráfico </w:t>
      </w:r>
      <w:r>
        <w:rPr>
          <w:rFonts w:cs="Times New Roman" w:ascii="Times New Roman" w:hAnsi="Times New Roman"/>
          <w:b/>
          <w:sz w:val="24"/>
          <w:szCs w:val="24"/>
          <w:lang w:val="pt-BR"/>
        </w:rPr>
        <w:t xml:space="preserve">nº </w:t>
      </w:r>
      <w:r>
        <w:rPr>
          <w:rFonts w:eastAsia="Times New Roman" w:cs="Times New Roman" w:ascii="Times New Roman" w:hAnsi="Times New Roman"/>
          <w:b/>
          <w:bCs/>
          <w:sz w:val="24"/>
          <w:szCs w:val="24"/>
          <w:lang w:val="pt-BR" w:eastAsia="pt-PT"/>
        </w:rPr>
        <w:t>2. Patologias mais Frequentes IONA / Janeiro 2026</w:t>
      </w:r>
    </w:p>
    <w:p>
      <w:pPr>
        <w:pStyle w:val="Normal"/>
        <w:tabs>
          <w:tab w:val="clear" w:pos="708"/>
          <w:tab w:val="left" w:pos="1027" w:leader="none"/>
        </w:tabs>
        <w:spacing w:lineRule="auto" w:line="240" w:before="0" w:after="0"/>
        <w:jc w:val="center"/>
        <w:rPr>
          <w:rFonts w:ascii="Times New Roman" w:hAnsi="Times New Roman" w:eastAsia="Times New Roman" w:cs="Times New Roman"/>
          <w:b/>
          <w:color w:val="C00000"/>
          <w:sz w:val="24"/>
          <w:szCs w:val="24"/>
          <w:lang w:val="pt-BR" w:eastAsia="pt-PT"/>
        </w:rPr>
      </w:pPr>
      <w:r>
        <w:rPr>
          <w:rFonts w:eastAsia="Times New Roman" w:cs="Times New Roman" w:ascii="Times New Roman" w:hAnsi="Times New Roman"/>
          <w:b/>
          <w:color w:val="C00000"/>
          <w:sz w:val="24"/>
          <w:szCs w:val="24"/>
          <w:lang w:val="pt-BR" w:eastAsia="pt-PT"/>
        </w:rPr>
      </w:r>
    </w:p>
    <w:p>
      <w:pPr>
        <w:pStyle w:val="Normal"/>
        <w:tabs>
          <w:tab w:val="clear" w:pos="708"/>
          <w:tab w:val="left" w:pos="1027" w:leader="none"/>
        </w:tabs>
        <w:spacing w:lineRule="auto" w:line="240" w:before="0" w:after="0"/>
        <w:jc w:val="center"/>
        <w:rPr>
          <w:rFonts w:ascii="Times New Roman" w:hAnsi="Times New Roman" w:eastAsia="Times New Roman" w:cs="Times New Roman"/>
          <w:b/>
          <w:color w:val="C00000"/>
          <w:sz w:val="24"/>
          <w:szCs w:val="24"/>
          <w:lang w:val="pt-BR" w:eastAsia="pt-PT"/>
        </w:rPr>
      </w:pPr>
      <w:r>
        <w:rPr>
          <w:rFonts w:eastAsia="Times New Roman" w:cs="Times New Roman" w:ascii="Times New Roman" w:hAnsi="Times New Roman"/>
          <w:b/>
          <w:color w:val="C00000"/>
          <w:sz w:val="24"/>
          <w:szCs w:val="24"/>
          <w:lang w:val="pt-BR" w:eastAsia="pt-PT"/>
        </w:rPr>
      </w:r>
    </w:p>
    <w:p>
      <w:pPr>
        <w:pStyle w:val="Normal"/>
        <w:tabs>
          <w:tab w:val="clear" w:pos="708"/>
          <w:tab w:val="left" w:pos="1027" w:leader="none"/>
        </w:tabs>
        <w:spacing w:lineRule="auto" w:line="240" w:before="0" w:after="0"/>
        <w:jc w:val="both"/>
        <w:rPr>
          <w:rFonts w:ascii="Times New Roman" w:hAnsi="Times New Roman" w:eastAsia="Times New Roman" w:cs="Times New Roman"/>
          <w:b/>
          <w:color w:val="C00000"/>
          <w:sz w:val="24"/>
          <w:szCs w:val="24"/>
          <w:lang w:val="pt-BR" w:eastAsia="pt-PT"/>
        </w:rPr>
      </w:pPr>
      <w:r>
        <w:rPr/>
        <w:drawing>
          <wp:inline distT="0" distB="0" distL="0" distR="0">
            <wp:extent cx="4572000" cy="2743200"/>
            <wp:effectExtent l="0" t="0" r="0" b="0"/>
            <wp:docPr id="4" name="Gráfico 1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sz w:val="24"/>
          <w:szCs w:val="24"/>
          <w:lang w:val="pt-BR" w:eastAsia="pt-PT"/>
        </w:rPr>
        <w:t xml:space="preserve">Tabela </w:t>
      </w:r>
      <w:r>
        <w:rPr>
          <w:rFonts w:cs="Times New Roman" w:ascii="Times New Roman" w:hAnsi="Times New Roman"/>
          <w:b/>
          <w:sz w:val="24"/>
          <w:szCs w:val="24"/>
          <w:lang w:val="pt-BR"/>
        </w:rPr>
        <w:t xml:space="preserve">nº </w:t>
      </w:r>
      <w:r>
        <w:rPr>
          <w:rFonts w:eastAsia="Times New Roman" w:cs="Times New Roman" w:ascii="Times New Roman" w:hAnsi="Times New Roman"/>
          <w:b/>
          <w:sz w:val="24"/>
          <w:szCs w:val="24"/>
          <w:lang w:val="pt-BR" w:eastAsia="pt-PT"/>
        </w:rPr>
        <w:t xml:space="preserve">3. Principais causas de Internamento </w:t>
      </w:r>
      <w:r>
        <w:rPr>
          <w:rFonts w:eastAsia="Times New Roman" w:cs="Times New Roman" w:ascii="Times New Roman" w:hAnsi="Times New Roman"/>
          <w:b/>
          <w:bCs/>
          <w:sz w:val="24"/>
          <w:szCs w:val="24"/>
          <w:lang w:val="pt-BR" w:eastAsia="pt-PT"/>
        </w:rPr>
        <w:t>IONA/ Janeiro 2026</w:t>
      </w:r>
    </w:p>
    <w:p>
      <w:pPr>
        <w:pStyle w:val="Normal"/>
        <w:spacing w:lineRule="auto" w:line="240" w:before="0" w:after="0"/>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jc w:val="both"/>
        <w:rPr>
          <w:rFonts w:ascii="Times New Roman" w:hAnsi="Times New Roman" w:eastAsia="Times New Roman" w:cs="Times New Roman"/>
          <w:sz w:val="24"/>
          <w:szCs w:val="24"/>
          <w:lang w:val="pt-BR" w:eastAsia="pt-PT"/>
        </w:rPr>
      </w:pPr>
      <w:r>
        <w:rPr>
          <w:rFonts w:eastAsia="Times New Roman" w:cs="Times New Roman" w:ascii="Times New Roman" w:hAnsi="Times New Roman"/>
          <w:sz w:val="24"/>
          <w:szCs w:val="24"/>
          <w:lang w:eastAsia="pt-PT"/>
        </w:rPr>
        <w:t xml:space="preserve">Este mês </w:t>
      </w:r>
      <w:r>
        <w:rPr>
          <w:rFonts w:eastAsia="Times New Roman" w:cs="Times New Roman" w:ascii="Times New Roman" w:hAnsi="Times New Roman"/>
          <w:sz w:val="24"/>
          <w:szCs w:val="24"/>
          <w:lang w:val="pt-BR" w:eastAsia="pt-PT"/>
        </w:rPr>
        <w:t xml:space="preserve">foram internados 5 pacientes. A maioria, em 40% dos casos, deveram-se a casos pós cirúrgicos. </w:t>
      </w:r>
    </w:p>
    <w:p>
      <w:pPr>
        <w:pStyle w:val="Normal"/>
        <w:spacing w:lineRule="auto" w:line="240" w:before="0" w:after="0"/>
        <w:jc w:val="both"/>
        <w:rPr>
          <w:rFonts w:ascii="Times New Roman" w:hAnsi="Times New Roman" w:eastAsia="Times New Roman" w:cs="Times New Roman"/>
          <w:sz w:val="24"/>
          <w:szCs w:val="24"/>
          <w:lang w:val="pt-BR" w:eastAsia="pt-PT"/>
        </w:rPr>
      </w:pPr>
      <w:r>
        <w:rPr>
          <w:rFonts w:eastAsia="Times New Roman" w:cs="Times New Roman" w:ascii="Times New Roman" w:hAnsi="Times New Roman"/>
          <w:sz w:val="24"/>
          <w:szCs w:val="24"/>
          <w:lang w:val="pt-BR" w:eastAsia="pt-PT"/>
        </w:rPr>
      </w:r>
    </w:p>
    <w:tbl>
      <w:tblPr>
        <w:tblW w:w="5846" w:type="dxa"/>
        <w:jc w:val="left"/>
        <w:tblInd w:w="722" w:type="dxa"/>
        <w:tblLayout w:type="fixed"/>
        <w:tblCellMar>
          <w:top w:w="0" w:type="dxa"/>
          <w:left w:w="70" w:type="dxa"/>
          <w:bottom w:w="0" w:type="dxa"/>
          <w:right w:w="70" w:type="dxa"/>
        </w:tblCellMar>
        <w:tblLook w:val="04a0" w:noHBand="0" w:noVBand="1" w:firstColumn="1" w:lastRow="0" w:lastColumn="0" w:firstRow="1"/>
      </w:tblPr>
      <w:tblGrid>
        <w:gridCol w:w="4210"/>
        <w:gridCol w:w="1078"/>
        <w:gridCol w:w="558"/>
      </w:tblGrid>
      <w:tr>
        <w:trPr>
          <w:trHeight w:val="387" w:hRule="atLeast"/>
        </w:trPr>
        <w:tc>
          <w:tcPr>
            <w:tcW w:w="4210" w:type="dxa"/>
            <w:tcBorders>
              <w:top w:val="single" w:sz="4" w:space="0" w:color="000000"/>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lang w:eastAsia="pt-PT"/>
              </w:rPr>
            </w:pPr>
            <w:r>
              <w:rPr>
                <w:rFonts w:eastAsia="Times New Roman" w:cs="Times New Roman" w:ascii="Times New Roman" w:hAnsi="Times New Roman"/>
                <w:b/>
                <w:lang w:eastAsia="pt-PT"/>
              </w:rPr>
              <w:t>Diag/ Internamento</w:t>
            </w:r>
          </w:p>
        </w:tc>
        <w:tc>
          <w:tcPr>
            <w:tcW w:w="1078"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lang w:eastAsia="pt-PT"/>
              </w:rPr>
            </w:pPr>
            <w:r>
              <w:rPr>
                <w:rFonts w:eastAsia="Times New Roman" w:cs="Times New Roman" w:ascii="Times New Roman" w:hAnsi="Times New Roman"/>
                <w:b/>
                <w:lang w:eastAsia="pt-PT"/>
              </w:rPr>
              <w:t>TOTAL</w:t>
            </w:r>
          </w:p>
        </w:tc>
        <w:tc>
          <w:tcPr>
            <w:tcW w:w="558"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lang w:eastAsia="pt-PT"/>
              </w:rPr>
            </w:pPr>
            <w:r>
              <w:rPr>
                <w:rFonts w:eastAsia="Times New Roman" w:cs="Times New Roman" w:ascii="Times New Roman" w:hAnsi="Times New Roman"/>
                <w:b/>
                <w:lang w:eastAsia="pt-PT"/>
              </w:rPr>
              <w:t>%</w:t>
            </w:r>
          </w:p>
        </w:tc>
      </w:tr>
      <w:tr>
        <w:trPr>
          <w:trHeight w:val="387" w:hRule="atLeast"/>
        </w:trPr>
        <w:tc>
          <w:tcPr>
            <w:tcW w:w="4210"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lang w:eastAsia="pt-PT"/>
              </w:rPr>
            </w:pPr>
            <w:r>
              <w:rPr>
                <w:rFonts w:eastAsia="Times New Roman" w:cs="Times New Roman" w:ascii="Times New Roman" w:hAnsi="Times New Roman"/>
                <w:lang w:eastAsia="pt-PT"/>
              </w:rPr>
              <w:t>Trauma Ocular</w:t>
            </w:r>
          </w:p>
        </w:tc>
        <w:tc>
          <w:tcPr>
            <w:tcW w:w="1078"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w:t>
            </w:r>
          </w:p>
        </w:tc>
        <w:tc>
          <w:tcPr>
            <w:tcW w:w="558"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20</w:t>
            </w:r>
          </w:p>
        </w:tc>
      </w:tr>
      <w:tr>
        <w:trPr>
          <w:trHeight w:val="387" w:hRule="atLeast"/>
        </w:trPr>
        <w:tc>
          <w:tcPr>
            <w:tcW w:w="4210"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lang w:eastAsia="pt-PT"/>
              </w:rPr>
            </w:pPr>
            <w:r>
              <w:rPr>
                <w:rFonts w:eastAsia="Times New Roman" w:cs="Times New Roman" w:ascii="Times New Roman" w:hAnsi="Times New Roman"/>
                <w:lang w:eastAsia="pt-PT"/>
              </w:rPr>
              <w:t>Pós operado Orbitotomia</w:t>
            </w:r>
          </w:p>
        </w:tc>
        <w:tc>
          <w:tcPr>
            <w:tcW w:w="1078"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w:t>
            </w:r>
          </w:p>
        </w:tc>
        <w:tc>
          <w:tcPr>
            <w:tcW w:w="558"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20</w:t>
            </w:r>
          </w:p>
        </w:tc>
      </w:tr>
      <w:tr>
        <w:trPr>
          <w:trHeight w:val="387" w:hRule="atLeast"/>
        </w:trPr>
        <w:tc>
          <w:tcPr>
            <w:tcW w:w="4210"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lang w:eastAsia="pt-PT"/>
              </w:rPr>
            </w:pPr>
            <w:r>
              <w:rPr>
                <w:rFonts w:eastAsia="Times New Roman" w:cs="Times New Roman" w:ascii="Times New Roman" w:hAnsi="Times New Roman"/>
                <w:lang w:eastAsia="pt-PT"/>
              </w:rPr>
              <w:t>Pós operado de sutura palpebral</w:t>
            </w:r>
          </w:p>
        </w:tc>
        <w:tc>
          <w:tcPr>
            <w:tcW w:w="1078"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w:t>
            </w:r>
          </w:p>
        </w:tc>
        <w:tc>
          <w:tcPr>
            <w:tcW w:w="558"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40</w:t>
            </w:r>
          </w:p>
        </w:tc>
      </w:tr>
      <w:tr>
        <w:trPr>
          <w:trHeight w:val="387" w:hRule="atLeast"/>
        </w:trPr>
        <w:tc>
          <w:tcPr>
            <w:tcW w:w="4210"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lang w:eastAsia="pt-PT"/>
              </w:rPr>
            </w:pPr>
            <w:r>
              <w:rPr>
                <w:rFonts w:eastAsia="Times New Roman" w:cs="Times New Roman" w:ascii="Times New Roman" w:hAnsi="Times New Roman"/>
                <w:lang w:eastAsia="pt-PT"/>
              </w:rPr>
              <w:t>Pós operado de evisceração</w:t>
            </w:r>
          </w:p>
        </w:tc>
        <w:tc>
          <w:tcPr>
            <w:tcW w:w="1078"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w:t>
            </w:r>
          </w:p>
        </w:tc>
        <w:tc>
          <w:tcPr>
            <w:tcW w:w="558"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20</w:t>
            </w:r>
          </w:p>
        </w:tc>
      </w:tr>
      <w:tr>
        <w:trPr>
          <w:trHeight w:val="387" w:hRule="atLeast"/>
        </w:trPr>
        <w:tc>
          <w:tcPr>
            <w:tcW w:w="4210"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lang w:eastAsia="pt-PT"/>
              </w:rPr>
            </w:pPr>
            <w:r>
              <w:rPr>
                <w:rFonts w:eastAsia="Times New Roman" w:cs="Times New Roman" w:ascii="Times New Roman" w:hAnsi="Times New Roman"/>
                <w:b/>
                <w:lang w:eastAsia="pt-PT"/>
              </w:rPr>
              <w:t>Total</w:t>
            </w:r>
          </w:p>
        </w:tc>
        <w:tc>
          <w:tcPr>
            <w:tcW w:w="1078"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lang w:eastAsia="pt-PT"/>
              </w:rPr>
            </w:pPr>
            <w:r>
              <w:rPr>
                <w:rFonts w:eastAsia="Times New Roman" w:cs="Times New Roman" w:ascii="Times New Roman" w:hAnsi="Times New Roman"/>
                <w:b/>
                <w:lang w:eastAsia="pt-PT"/>
              </w:rPr>
              <w:t>5</w:t>
            </w:r>
          </w:p>
        </w:tc>
        <w:tc>
          <w:tcPr>
            <w:tcW w:w="558"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lang w:eastAsia="pt-PT"/>
              </w:rPr>
            </w:pPr>
            <w:r>
              <w:rPr>
                <w:rFonts w:eastAsia="Times New Roman" w:cs="Times New Roman" w:ascii="Times New Roman" w:hAnsi="Times New Roman"/>
                <w:b/>
                <w:lang w:eastAsia="pt-PT"/>
              </w:rPr>
              <w:t>100</w:t>
            </w:r>
          </w:p>
        </w:tc>
      </w:tr>
    </w:tbl>
    <w:p>
      <w:pPr>
        <w:pStyle w:val="Normal"/>
        <w:spacing w:lineRule="auto" w:line="240" w:before="0" w:after="0"/>
        <w:jc w:val="center"/>
        <w:rPr>
          <w:rFonts w:ascii="Times New Roman" w:hAnsi="Times New Roman" w:cs="Times New Roman"/>
          <w:sz w:val="24"/>
          <w:szCs w:val="24"/>
          <w:lang w:val="pt-BR" w:eastAsia="pt-PT"/>
        </w:rPr>
      </w:pPr>
      <w:r>
        <w:rPr>
          <w:rFonts w:cs="Times New Roman" w:ascii="Times New Roman" w:hAnsi="Times New Roman"/>
          <w:sz w:val="24"/>
          <w:szCs w:val="24"/>
          <w:lang w:val="pt-BR" w:eastAsia="pt-PT"/>
        </w:rPr>
      </w:r>
    </w:p>
    <w:p>
      <w:pPr>
        <w:pStyle w:val="Normal"/>
        <w:spacing w:lineRule="auto" w:line="240" w:before="0" w:after="0"/>
        <w:jc w:val="center"/>
        <w:rPr>
          <w:rFonts w:ascii="Times New Roman" w:hAnsi="Times New Roman" w:cs="Times New Roman"/>
          <w:sz w:val="24"/>
          <w:szCs w:val="24"/>
          <w:lang w:val="pt-BR" w:eastAsia="pt-PT"/>
        </w:rPr>
      </w:pPr>
      <w:r>
        <w:rPr>
          <w:rFonts w:cs="Times New Roman" w:ascii="Times New Roman" w:hAnsi="Times New Roman"/>
          <w:sz w:val="24"/>
          <w:szCs w:val="24"/>
          <w:lang w:val="pt-BR" w:eastAsia="pt-PT"/>
        </w:rPr>
      </w:r>
    </w:p>
    <w:p>
      <w:pPr>
        <w:pStyle w:val="Normal"/>
        <w:spacing w:lineRule="auto" w:line="240" w:before="0" w:after="0"/>
        <w:jc w:val="center"/>
        <w:rPr>
          <w:rFonts w:ascii="Times New Roman" w:hAnsi="Times New Roman" w:eastAsia="SimSun" w:cs="Times New Roman"/>
          <w:sz w:val="24"/>
          <w:szCs w:val="24"/>
          <w:lang w:val="pt-BR" w:eastAsia="pt-BR"/>
        </w:rPr>
      </w:pPr>
      <w:r>
        <w:fldChar w:fldCharType="begin"/>
      </w:r>
      <w:r>
        <w:rPr>
          <w:sz w:val="24"/>
          <w:szCs w:val="24"/>
          <w:rFonts w:cs="Times New Roman" w:ascii="Times New Roman" w:hAnsi="Times New Roman"/>
          <w:lang w:val="pt-BR" w:eastAsia="pt-PT"/>
        </w:rPr>
        <w:instrText xml:space="preserve">LINK Excel.Sheet.12 "C:\\Users\\Otaln\\OneDrive\\Desktop\\ESTATÍSTICA DE 2025\\ESTATÍSTICA ANUAL\\ESTATÍSTICA ANUAL MINSA.xlsx" INTERNAMENTO!L54C2:L77C4 \a \f 4 \h  \* MERGEFORMAT</w:instrText>
      </w:r>
      <w:r>
        <w:rPr>
          <w:rFonts w:cs="Times New Roman" w:ascii="Times New Roman" w:hAnsi="Times New Roman"/>
          <w:sz w:val="24"/>
          <w:szCs w:val="24"/>
          <w:lang w:val="pt-BR" w:eastAsia="pt-PT"/>
        </w:rPr>
      </w:r>
      <w:r>
        <w:rPr>
          <w:sz w:val="24"/>
          <w:szCs w:val="24"/>
          <w:rFonts w:cs="Times New Roman" w:ascii="Times New Roman" w:hAnsi="Times New Roman"/>
          <w:lang w:val="pt-BR" w:eastAsia="pt-PT"/>
        </w:rPr>
        <w:fldChar w:fldCharType="separate"/>
      </w:r>
      <w:r/>
      <w:r>
        <w:rPr>
          <w:rFonts w:cs="Times New Roman" w:ascii="Times New Roman" w:hAnsi="Times New Roman"/>
          <w:sz w:val="24"/>
          <w:szCs w:val="24"/>
          <w:lang w:val="pt-BR" w:eastAsia="pt-PT"/>
        </w:rPr>
      </w:r>
    </w:p>
    <w:p>
      <w:pPr>
        <w:pStyle w:val="Normal"/>
        <w:spacing w:lineRule="auto" w:line="240" w:before="0" w:after="0"/>
        <w:jc w:val="both"/>
        <w:rPr>
          <w:rFonts w:ascii="Times New Roman" w:hAnsi="Times New Roman" w:eastAsia="Times New Roman" w:cs="Times New Roman"/>
          <w:b/>
          <w:bCs/>
          <w:sz w:val="24"/>
          <w:szCs w:val="24"/>
          <w:lang w:val="pt-BR" w:eastAsia="pt-PT"/>
        </w:rPr>
      </w:pPr>
      <w:r>
        <w:rPr>
          <w:rFonts w:cs="Times New Roman" w:ascii="Times New Roman" w:hAnsi="Times New Roman"/>
          <w:sz w:val="24"/>
          <w:szCs w:val="24"/>
          <w:lang w:val="pt-BR" w:eastAsia="pt-PT"/>
        </w:rPr>
      </w:r>
      <w:r>
        <w:rPr>
          <w:sz w:val="24"/>
          <w:szCs w:val="24"/>
          <w:rFonts w:cs="Times New Roman" w:ascii="Times New Roman" w:hAnsi="Times New Roman"/>
          <w:lang w:val="pt-BR" w:eastAsia="pt-PT"/>
        </w:rPr>
        <w:fldChar w:fldCharType="end"/>
      </w:r>
      <w:r>
        <w:rPr>
          <w:rFonts w:eastAsia="Times New Roman" w:cs="Times New Roman" w:ascii="Times New Roman" w:hAnsi="Times New Roman"/>
          <w:b/>
          <w:sz w:val="24"/>
          <w:szCs w:val="24"/>
          <w:lang w:val="pt-BR" w:eastAsia="pt-PT"/>
        </w:rPr>
        <w:t xml:space="preserve"> Tabela </w:t>
      </w:r>
      <w:r>
        <w:rPr>
          <w:rFonts w:cs="Times New Roman" w:ascii="Times New Roman" w:hAnsi="Times New Roman"/>
          <w:b/>
          <w:sz w:val="24"/>
          <w:szCs w:val="24"/>
          <w:lang w:val="pt-BR"/>
        </w:rPr>
        <w:t>nº 3</w:t>
      </w:r>
      <w:r>
        <w:rPr>
          <w:rFonts w:eastAsia="Times New Roman" w:cs="Times New Roman" w:ascii="Times New Roman" w:hAnsi="Times New Roman"/>
          <w:b/>
          <w:sz w:val="24"/>
          <w:szCs w:val="24"/>
          <w:lang w:val="pt-BR" w:eastAsia="pt-PT"/>
        </w:rPr>
        <w:t xml:space="preserve">.1 Tempo de Internamento </w:t>
      </w:r>
      <w:r>
        <w:rPr>
          <w:rFonts w:eastAsia="Times New Roman" w:cs="Times New Roman" w:ascii="Times New Roman" w:hAnsi="Times New Roman"/>
          <w:b/>
          <w:bCs/>
          <w:sz w:val="24"/>
          <w:szCs w:val="24"/>
          <w:lang w:val="pt-BR" w:eastAsia="pt-PT"/>
        </w:rPr>
        <w:t>IONA/ Janeiro 2026</w:t>
      </w:r>
    </w:p>
    <w:p>
      <w:pPr>
        <w:pStyle w:val="Normal"/>
        <w:spacing w:lineRule="auto" w:line="240" w:before="0" w:after="0"/>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tabs>
          <w:tab w:val="clear" w:pos="708"/>
          <w:tab w:val="left" w:pos="6870" w:leader="none"/>
        </w:tabs>
        <w:spacing w:before="0" w:after="0"/>
        <w:jc w:val="both"/>
        <w:rPr>
          <w:rFonts w:ascii="Times New Roman" w:hAnsi="Times New Roman" w:cs="Times New Roman"/>
          <w:bCs/>
          <w:sz w:val="24"/>
          <w:szCs w:val="24"/>
        </w:rPr>
      </w:pPr>
      <w:r>
        <w:rPr>
          <w:rFonts w:cs="Times New Roman" w:ascii="Times New Roman" w:hAnsi="Times New Roman"/>
          <w:bCs/>
          <w:sz w:val="24"/>
          <w:szCs w:val="24"/>
        </w:rPr>
        <w:t>A maioria, com 40% (2) do total dos pacientes internados,  permaneceu  até 48H.</w:t>
      </w:r>
    </w:p>
    <w:p>
      <w:pPr>
        <w:pStyle w:val="Normal"/>
        <w:spacing w:lineRule="auto" w:line="240" w:before="0" w:after="0"/>
        <w:jc w:val="both"/>
        <w:rPr>
          <w:rFonts w:ascii="Times New Roman" w:hAnsi="Times New Roman" w:eastAsia="Times New Roman" w:cs="Times New Roman"/>
          <w:b/>
          <w:bCs/>
          <w:color w:val="FF0000"/>
          <w:sz w:val="24"/>
          <w:szCs w:val="24"/>
          <w:lang w:val="pt-BR" w:eastAsia="pt-PT"/>
        </w:rPr>
      </w:pPr>
      <w:r>
        <w:rPr>
          <w:rFonts w:eastAsia="Times New Roman" w:cs="Times New Roman" w:ascii="Times New Roman" w:hAnsi="Times New Roman"/>
          <w:b/>
          <w:bCs/>
          <w:color w:val="FF0000"/>
          <w:sz w:val="24"/>
          <w:szCs w:val="24"/>
          <w:lang w:val="pt-BR" w:eastAsia="pt-PT"/>
        </w:rPr>
      </w:r>
    </w:p>
    <w:tbl>
      <w:tblPr>
        <w:tblpPr w:vertAnchor="text" w:horzAnchor="page" w:leftFromText="141" w:rightFromText="141" w:tblpX="2521" w:tblpY="-32"/>
        <w:tblW w:w="5506" w:type="dxa"/>
        <w:jc w:val="left"/>
        <w:tblInd w:w="-10" w:type="dxa"/>
        <w:tblLayout w:type="fixed"/>
        <w:tblCellMar>
          <w:top w:w="0" w:type="dxa"/>
          <w:left w:w="70" w:type="dxa"/>
          <w:bottom w:w="0" w:type="dxa"/>
          <w:right w:w="70" w:type="dxa"/>
        </w:tblCellMar>
        <w:tblLook w:val="04a0" w:noHBand="0" w:noVBand="1" w:firstColumn="1" w:lastRow="0" w:lastColumn="0" w:firstRow="1"/>
      </w:tblPr>
      <w:tblGrid>
        <w:gridCol w:w="4720"/>
        <w:gridCol w:w="785"/>
      </w:tblGrid>
      <w:tr>
        <w:trPr>
          <w:trHeight w:val="409" w:hRule="atLeast"/>
        </w:trPr>
        <w:tc>
          <w:tcPr>
            <w:tcW w:w="5505" w:type="dxa"/>
            <w:gridSpan w:val="2"/>
            <w:tcBorders>
              <w:top w:val="single" w:sz="8" w:space="0" w:color="000000"/>
              <w:left w:val="single" w:sz="8" w:space="0" w:color="000000"/>
              <w:bottom w:val="single" w:sz="4" w:space="0" w:color="000000"/>
              <w:right w:val="single" w:sz="8"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T. DE INTERNAMENTO</w:t>
            </w:r>
          </w:p>
        </w:tc>
      </w:tr>
      <w:tr>
        <w:trPr>
          <w:trHeight w:val="450" w:hRule="atLeast"/>
        </w:trPr>
        <w:tc>
          <w:tcPr>
            <w:tcW w:w="4720" w:type="dxa"/>
            <w:tcBorders>
              <w:left w:val="single" w:sz="8"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24 horas</w:t>
            </w:r>
          </w:p>
        </w:tc>
        <w:tc>
          <w:tcPr>
            <w:tcW w:w="785" w:type="dxa"/>
            <w:tcBorders>
              <w:bottom w:val="single" w:sz="4" w:space="0" w:color="000000"/>
              <w:right w:val="single" w:sz="8"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w:t>
            </w:r>
          </w:p>
        </w:tc>
      </w:tr>
      <w:tr>
        <w:trPr>
          <w:trHeight w:val="450" w:hRule="atLeast"/>
        </w:trPr>
        <w:tc>
          <w:tcPr>
            <w:tcW w:w="4720" w:type="dxa"/>
            <w:tcBorders>
              <w:left w:val="single" w:sz="8"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48 horas</w:t>
            </w:r>
          </w:p>
        </w:tc>
        <w:tc>
          <w:tcPr>
            <w:tcW w:w="785" w:type="dxa"/>
            <w:tcBorders>
              <w:right w:val="single" w:sz="8"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w:t>
            </w:r>
          </w:p>
        </w:tc>
      </w:tr>
      <w:tr>
        <w:trPr>
          <w:trHeight w:val="450" w:hRule="atLeast"/>
        </w:trPr>
        <w:tc>
          <w:tcPr>
            <w:tcW w:w="4720" w:type="dxa"/>
            <w:tcBorders>
              <w:left w:val="single" w:sz="8"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72 horas</w:t>
            </w:r>
          </w:p>
        </w:tc>
        <w:tc>
          <w:tcPr>
            <w:tcW w:w="785" w:type="dxa"/>
            <w:tcBorders>
              <w:top w:val="single" w:sz="4" w:space="0" w:color="000000"/>
              <w:right w:val="single" w:sz="8"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w:t>
            </w:r>
          </w:p>
        </w:tc>
      </w:tr>
      <w:tr>
        <w:trPr>
          <w:trHeight w:val="508" w:hRule="atLeast"/>
        </w:trPr>
        <w:tc>
          <w:tcPr>
            <w:tcW w:w="4720" w:type="dxa"/>
            <w:tcBorders>
              <w:left w:val="single" w:sz="8" w:space="0" w:color="000000"/>
              <w:bottom w:val="single" w:sz="8"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Total</w:t>
            </w:r>
          </w:p>
        </w:tc>
        <w:tc>
          <w:tcPr>
            <w:tcW w:w="785" w:type="dxa"/>
            <w:tcBorders>
              <w:top w:val="single" w:sz="4" w:space="0" w:color="000000"/>
              <w:bottom w:val="single" w:sz="8" w:space="0" w:color="000000"/>
              <w:right w:val="single" w:sz="8"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5</w:t>
            </w:r>
          </w:p>
        </w:tc>
      </w:tr>
    </w:tbl>
    <w:p>
      <w:pPr>
        <w:pStyle w:val="Normal"/>
        <w:spacing w:lineRule="auto" w:line="240" w:before="0" w:after="0"/>
        <w:jc w:val="both"/>
        <w:rPr>
          <w:rFonts w:ascii="Times New Roman" w:hAnsi="Times New Roman" w:eastAsia="Times New Roman" w:cs="Times New Roman"/>
          <w:b/>
          <w:bCs/>
          <w:color w:val="FF0000"/>
          <w:sz w:val="24"/>
          <w:szCs w:val="24"/>
          <w:lang w:val="pt-BR" w:eastAsia="pt-PT"/>
        </w:rPr>
      </w:pPr>
      <w:r>
        <w:rPr>
          <w:rFonts w:eastAsia="Times New Roman" w:cs="Times New Roman" w:ascii="Times New Roman" w:hAnsi="Times New Roman"/>
          <w:b/>
          <w:bCs/>
          <w:color w:val="FF0000"/>
          <w:sz w:val="24"/>
          <w:szCs w:val="24"/>
          <w:lang w:val="pt-BR" w:eastAsia="pt-PT"/>
        </w:rPr>
      </w:r>
    </w:p>
    <w:p>
      <w:pPr>
        <w:pStyle w:val="Normal"/>
        <w:spacing w:lineRule="auto" w:line="240" w:before="0" w:after="0"/>
        <w:jc w:val="both"/>
        <w:rPr>
          <w:rFonts w:ascii="Times New Roman" w:hAnsi="Times New Roman" w:eastAsia="Times New Roman" w:cs="Times New Roman"/>
          <w:b/>
          <w:bCs/>
          <w:color w:val="FF0000"/>
          <w:lang w:val="pt-BR" w:eastAsia="pt-PT"/>
        </w:rPr>
      </w:pPr>
      <w:r>
        <w:rPr>
          <w:rFonts w:eastAsia="Times New Roman" w:cs="Times New Roman" w:ascii="Times New Roman" w:hAnsi="Times New Roman"/>
          <w:b/>
          <w:bCs/>
          <w:color w:val="FF0000"/>
          <w:lang w:val="pt-BR" w:eastAsia="pt-PT"/>
        </w:rPr>
      </w:r>
    </w:p>
    <w:p>
      <w:pPr>
        <w:pStyle w:val="Normal"/>
        <w:spacing w:lineRule="auto" w:line="240" w:before="0" w:after="0"/>
        <w:jc w:val="both"/>
        <w:rPr>
          <w:rFonts w:ascii="Times New Roman" w:hAnsi="Times New Roman" w:eastAsia="Times New Roman" w:cs="Times New Roman"/>
          <w:b/>
          <w:bCs/>
          <w:color w:val="FF0000"/>
          <w:sz w:val="24"/>
          <w:szCs w:val="24"/>
          <w:lang w:val="pt-BR" w:eastAsia="pt-PT"/>
        </w:rPr>
      </w:pPr>
      <w:r>
        <w:rPr>
          <w:rFonts w:eastAsia="Times New Roman" w:cs="Times New Roman" w:ascii="Times New Roman" w:hAnsi="Times New Roman"/>
          <w:b/>
          <w:bCs/>
          <w:color w:val="FF0000"/>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sz w:val="24"/>
          <w:szCs w:val="24"/>
          <w:lang w:val="pt-BR" w:eastAsia="pt-PT"/>
        </w:rPr>
        <w:t xml:space="preserve">Tabela </w:t>
      </w:r>
      <w:r>
        <w:rPr>
          <w:rFonts w:cs="Times New Roman" w:ascii="Times New Roman" w:hAnsi="Times New Roman"/>
          <w:b/>
          <w:sz w:val="24"/>
          <w:szCs w:val="24"/>
          <w:lang w:val="pt-BR"/>
        </w:rPr>
        <w:t>nº</w:t>
      </w:r>
      <w:r>
        <w:rPr>
          <w:rFonts w:eastAsia="Times New Roman" w:cs="Times New Roman" w:ascii="Times New Roman" w:hAnsi="Times New Roman"/>
          <w:b/>
          <w:sz w:val="24"/>
          <w:szCs w:val="24"/>
          <w:lang w:val="pt-BR" w:eastAsia="pt-PT"/>
        </w:rPr>
        <w:t xml:space="preserve"> 4. Tipo de Cirurgias realizadas </w:t>
      </w:r>
      <w:r>
        <w:rPr>
          <w:rFonts w:eastAsia="Times New Roman" w:cs="Times New Roman" w:ascii="Times New Roman" w:hAnsi="Times New Roman"/>
          <w:b/>
          <w:bCs/>
          <w:sz w:val="24"/>
          <w:szCs w:val="24"/>
          <w:lang w:val="pt-BR" w:eastAsia="pt-PT"/>
        </w:rPr>
        <w:t>IONA/</w:t>
      </w:r>
      <w:r>
        <w:rPr>
          <w:rFonts w:eastAsia="Times New Roman" w:cs="Times New Roman" w:ascii="Times New Roman" w:hAnsi="Times New Roman"/>
          <w:b/>
          <w:sz w:val="24"/>
          <w:szCs w:val="24"/>
          <w:lang w:eastAsia="pt-PT"/>
        </w:rPr>
        <w:t xml:space="preserve"> Janeiro </w:t>
      </w:r>
      <w:r>
        <w:rPr>
          <w:rFonts w:eastAsia="Times New Roman" w:cs="Times New Roman" w:ascii="Times New Roman" w:hAnsi="Times New Roman"/>
          <w:b/>
          <w:bCs/>
          <w:sz w:val="24"/>
          <w:szCs w:val="24"/>
          <w:lang w:val="pt-BR" w:eastAsia="pt-PT"/>
        </w:rPr>
        <w:t>2026</w:t>
      </w:r>
    </w:p>
    <w:p>
      <w:pPr>
        <w:pStyle w:val="Normal"/>
        <w:spacing w:lineRule="auto" w:line="240" w:before="0" w:after="0"/>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jc w:val="both"/>
        <w:rPr>
          <w:rFonts w:ascii="Times New Roman" w:hAnsi="Times New Roman" w:eastAsia="Times New Roman" w:cs="Times New Roman"/>
          <w:sz w:val="24"/>
          <w:szCs w:val="24"/>
          <w:lang w:val="pt-BR" w:eastAsia="pt-PT"/>
        </w:rPr>
      </w:pPr>
      <w:r>
        <w:rPr>
          <w:rFonts w:eastAsia="Times New Roman" w:cs="Times New Roman" w:ascii="Times New Roman" w:hAnsi="Times New Roman"/>
          <w:sz w:val="24"/>
          <w:szCs w:val="24"/>
          <w:lang w:val="pt-BR" w:eastAsia="pt-PT"/>
        </w:rPr>
        <w:t>Das 767</w:t>
      </w:r>
      <w:r>
        <w:rPr>
          <w:rFonts w:eastAsia="Times New Roman" w:cs="Times New Roman" w:ascii="Times New Roman" w:hAnsi="Times New Roman"/>
          <w:b/>
          <w:bCs/>
          <w:sz w:val="24"/>
          <w:szCs w:val="24"/>
          <w:lang w:eastAsia="pt-PT"/>
        </w:rPr>
        <w:t xml:space="preserve"> </w:t>
      </w:r>
      <w:r>
        <w:rPr>
          <w:rFonts w:eastAsia="Times New Roman" w:cs="Times New Roman" w:ascii="Times New Roman" w:hAnsi="Times New Roman"/>
          <w:sz w:val="24"/>
          <w:szCs w:val="24"/>
          <w:lang w:val="pt-BR" w:eastAsia="pt-PT"/>
        </w:rPr>
        <w:t xml:space="preserve">cirurgias realizadas, a extracção de catarata com (38%), dos casos foi  a mais frequente.  Segue-se a </w:t>
      </w:r>
      <w:r>
        <w:rPr>
          <w:rFonts w:eastAsia="Times New Roman" w:cs="Times New Roman" w:ascii="Times New Roman" w:hAnsi="Times New Roman"/>
          <w:sz w:val="24"/>
          <w:szCs w:val="24"/>
          <w:lang w:eastAsia="pt-PT"/>
        </w:rPr>
        <w:t>Injecção intravítrea (IIV) de Avastin (11%)</w:t>
      </w:r>
      <w:r>
        <w:rPr>
          <w:rFonts w:eastAsia="Times New Roman" w:cs="Times New Roman" w:ascii="Times New Roman" w:hAnsi="Times New Roman"/>
          <w:bCs/>
          <w:sz w:val="24"/>
          <w:szCs w:val="24"/>
          <w:lang w:eastAsia="pt-PT"/>
        </w:rPr>
        <w:t xml:space="preserve">, </w:t>
      </w:r>
      <w:r>
        <w:rPr>
          <w:rFonts w:eastAsia="Times New Roman" w:cs="Times New Roman" w:ascii="Times New Roman" w:hAnsi="Times New Roman"/>
          <w:sz w:val="24"/>
          <w:szCs w:val="24"/>
          <w:lang w:eastAsia="pt-PT"/>
        </w:rPr>
        <w:t>Exérese de Pterígio</w:t>
      </w:r>
      <w:r>
        <w:rPr>
          <w:rFonts w:eastAsia="Times New Roman" w:cs="Times New Roman" w:ascii="Times New Roman" w:hAnsi="Times New Roman"/>
          <w:sz w:val="24"/>
          <w:szCs w:val="24"/>
          <w:lang w:val="pt-BR" w:eastAsia="pt-PT"/>
        </w:rPr>
        <w:t xml:space="preserve"> (10%) e  laser de segmento posterior (7%). A realçar que fram colocados 7 novos implantes valvulares.</w:t>
      </w:r>
    </w:p>
    <w:tbl>
      <w:tblPr>
        <w:tblpPr w:vertAnchor="text" w:horzAnchor="margin" w:tblpXSpec="center" w:leftFromText="141" w:rightFromText="141" w:tblpY="265"/>
        <w:tblW w:w="8301"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4524"/>
        <w:gridCol w:w="1964"/>
        <w:gridCol w:w="1813"/>
      </w:tblGrid>
      <w:tr>
        <w:trPr>
          <w:trHeight w:val="277" w:hRule="atLeast"/>
        </w:trPr>
        <w:tc>
          <w:tcPr>
            <w:tcW w:w="4524" w:type="dxa"/>
            <w:tcBorders>
              <w:top w:val="single" w:sz="4" w:space="0" w:color="000000"/>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Tipos de Cirurgias</w:t>
            </w:r>
          </w:p>
        </w:tc>
        <w:tc>
          <w:tcPr>
            <w:tcW w:w="1964" w:type="dxa"/>
            <w:tcBorders>
              <w:top w:val="single" w:sz="4" w:space="0" w:color="000000"/>
              <w:bottom w:val="single" w:sz="4" w:space="0" w:color="000000"/>
              <w:right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TOTAL</w:t>
            </w:r>
          </w:p>
        </w:tc>
        <w:tc>
          <w:tcPr>
            <w:tcW w:w="1813"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color w:val="000000"/>
                <w:sz w:val="24"/>
                <w:szCs w:val="24"/>
                <w:lang w:eastAsia="pt-PT"/>
              </w:rPr>
            </w:pPr>
            <w:r>
              <w:rPr>
                <w:rFonts w:eastAsia="Times New Roman" w:cs="Times New Roman" w:ascii="Times New Roman" w:hAnsi="Times New Roman"/>
                <w:b/>
                <w:color w:val="000000"/>
                <w:sz w:val="24"/>
                <w:szCs w:val="24"/>
                <w:lang w:eastAsia="pt-PT"/>
              </w:rPr>
              <w:t>%</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 xml:space="preserve">Extracção de Catarata </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294</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38</w:t>
            </w:r>
          </w:p>
        </w:tc>
      </w:tr>
      <w:tr>
        <w:trPr>
          <w:trHeight w:val="304" w:hRule="atLeast"/>
        </w:trPr>
        <w:tc>
          <w:tcPr>
            <w:tcW w:w="4524"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Drenagem de Chalázio</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7</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 xml:space="preserve">Drenagem de Abcesso </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3</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0</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Estrabismo</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2</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0</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Evisceração</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10</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Oculoplástia</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9</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Laser de Segmento Posterior</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52</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7</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Injecção intravítrea de Avastin</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88</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11</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 xml:space="preserve"> </w:t>
            </w:r>
            <w:r>
              <w:rPr>
                <w:rFonts w:eastAsia="Times New Roman" w:cs="Times New Roman" w:ascii="Times New Roman" w:hAnsi="Times New Roman"/>
                <w:sz w:val="24"/>
                <w:szCs w:val="24"/>
                <w:lang w:eastAsia="pt-PT"/>
              </w:rPr>
              <w:t>Laser de Segmento Anterior</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24</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3</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Exérese de Pterígio</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74</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10</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Crioterapia</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3</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0</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Cirurgia Vítreo-Retina</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21</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3</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Trabeculectomia</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4</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Implante Válvular</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7</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Recobrimento Conjuntival</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2</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0</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Trauma Ocular Aberto</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37</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5</w:t>
            </w:r>
          </w:p>
        </w:tc>
      </w:tr>
      <w:tr>
        <w:trPr>
          <w:trHeight w:val="316"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Trauma Ocular Fechado</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2</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0</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Outras  Cirurgias</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16</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2</w:t>
            </w:r>
          </w:p>
        </w:tc>
      </w:tr>
      <w:tr>
        <w:trPr>
          <w:trHeight w:val="383" w:hRule="atLeast"/>
        </w:trPr>
        <w:tc>
          <w:tcPr>
            <w:tcW w:w="4524"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color w:val="000000"/>
                <w:sz w:val="24"/>
                <w:szCs w:val="24"/>
                <w:lang w:eastAsia="pt-PT"/>
              </w:rPr>
            </w:pPr>
            <w:r>
              <w:rPr>
                <w:rFonts w:eastAsia="Times New Roman" w:cs="Times New Roman" w:ascii="Times New Roman" w:hAnsi="Times New Roman"/>
                <w:b/>
                <w:color w:val="000000"/>
                <w:sz w:val="24"/>
                <w:szCs w:val="24"/>
                <w:lang w:eastAsia="pt-PT"/>
              </w:rPr>
            </w:r>
          </w:p>
          <w:p>
            <w:pPr>
              <w:pStyle w:val="Normal"/>
              <w:spacing w:lineRule="auto" w:line="240" w:before="0" w:after="0"/>
              <w:rPr>
                <w:rFonts w:ascii="Times New Roman" w:hAnsi="Times New Roman" w:eastAsia="Times New Roman" w:cs="Times New Roman"/>
                <w:b/>
                <w:color w:val="000000"/>
                <w:sz w:val="24"/>
                <w:szCs w:val="24"/>
                <w:lang w:eastAsia="pt-PT"/>
              </w:rPr>
            </w:pPr>
            <w:r>
              <w:rPr>
                <w:rFonts w:eastAsia="Times New Roman" w:cs="Times New Roman" w:ascii="Times New Roman" w:hAnsi="Times New Roman"/>
                <w:b/>
                <w:color w:val="000000"/>
                <w:sz w:val="24"/>
                <w:szCs w:val="24"/>
                <w:lang w:eastAsia="pt-PT"/>
              </w:rPr>
              <w:t>Total das Pequenas e Grandes  Cirurgias</w:t>
            </w:r>
          </w:p>
        </w:tc>
        <w:tc>
          <w:tcPr>
            <w:tcW w:w="1964"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655</w:t>
            </w:r>
          </w:p>
        </w:tc>
        <w:tc>
          <w:tcPr>
            <w:tcW w:w="1813"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color w:val="000000"/>
                <w:sz w:val="24"/>
                <w:szCs w:val="24"/>
                <w:lang w:eastAsia="pt-PT"/>
              </w:rPr>
            </w:pPr>
            <w:r>
              <w:rPr>
                <w:rFonts w:eastAsia="Times New Roman" w:cs="Times New Roman" w:ascii="Times New Roman" w:hAnsi="Times New Roman"/>
                <w:b/>
                <w:color w:val="000000"/>
                <w:sz w:val="24"/>
                <w:szCs w:val="24"/>
                <w:lang w:eastAsia="pt-PT"/>
              </w:rPr>
              <w:t>85</w:t>
            </w:r>
          </w:p>
        </w:tc>
      </w:tr>
      <w:tr>
        <w:trPr>
          <w:trHeight w:val="277" w:hRule="atLeast"/>
        </w:trPr>
        <w:tc>
          <w:tcPr>
            <w:tcW w:w="6488" w:type="dxa"/>
            <w:gridSpan w:val="2"/>
            <w:tcBorders>
              <w:top w:val="single" w:sz="4" w:space="0" w:color="000000"/>
              <w:left w:val="single" w:sz="4" w:space="0" w:color="000000"/>
              <w:bottom w:val="single" w:sz="4" w:space="0" w:color="000000"/>
            </w:tcBorders>
            <w:shd w:color="000000" w:fill="ACB9CA"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xml:space="preserve">                                             </w:t>
            </w:r>
          </w:p>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 xml:space="preserve">                                 </w:t>
            </w:r>
            <w:r>
              <w:rPr>
                <w:rFonts w:eastAsia="Times New Roman" w:cs="Times New Roman" w:ascii="Times New Roman" w:hAnsi="Times New Roman"/>
                <w:b/>
                <w:bCs/>
                <w:color w:val="000000"/>
                <w:sz w:val="24"/>
                <w:szCs w:val="24"/>
                <w:lang w:eastAsia="pt-PT"/>
              </w:rPr>
              <w:t>ACTOS CIRÚGICOS</w:t>
            </w:r>
          </w:p>
        </w:tc>
        <w:tc>
          <w:tcPr>
            <w:tcW w:w="1813" w:type="dxa"/>
            <w:tcBorders>
              <w:bottom w:val="single" w:sz="4" w:space="0" w:color="000000"/>
              <w:right w:val="single" w:sz="4" w:space="0" w:color="000000"/>
            </w:tcBorders>
            <w:shd w:color="000000" w:fill="ACB9CA" w:val="clear"/>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 </w:t>
            </w:r>
          </w:p>
        </w:tc>
      </w:tr>
      <w:tr>
        <w:trPr>
          <w:trHeight w:val="304" w:hRule="atLeast"/>
        </w:trPr>
        <w:tc>
          <w:tcPr>
            <w:tcW w:w="4524"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Injecção Subconjuntival</w:t>
            </w:r>
          </w:p>
        </w:tc>
        <w:tc>
          <w:tcPr>
            <w:tcW w:w="1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24</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3</w:t>
            </w:r>
          </w:p>
        </w:tc>
      </w:tr>
      <w:tr>
        <w:trPr>
          <w:trHeight w:val="304" w:hRule="atLeast"/>
        </w:trPr>
        <w:tc>
          <w:tcPr>
            <w:tcW w:w="4524"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 xml:space="preserve">Remoção de Sutura </w:t>
            </w:r>
          </w:p>
        </w:tc>
        <w:tc>
          <w:tcPr>
            <w:tcW w:w="1964"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9</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w:t>
            </w:r>
          </w:p>
        </w:tc>
      </w:tr>
      <w:tr>
        <w:trPr>
          <w:trHeight w:val="304" w:hRule="atLeast"/>
        </w:trPr>
        <w:tc>
          <w:tcPr>
            <w:tcW w:w="4524"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Extracção de Membrana</w:t>
            </w:r>
          </w:p>
        </w:tc>
        <w:tc>
          <w:tcPr>
            <w:tcW w:w="1964"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12</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2</w:t>
            </w:r>
          </w:p>
        </w:tc>
      </w:tr>
      <w:tr>
        <w:trPr>
          <w:trHeight w:val="304" w:hRule="atLeast"/>
        </w:trPr>
        <w:tc>
          <w:tcPr>
            <w:tcW w:w="4524"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Injecção Tanspalpebral</w:t>
            </w:r>
          </w:p>
        </w:tc>
        <w:tc>
          <w:tcPr>
            <w:tcW w:w="1964"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46</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6</w:t>
            </w:r>
          </w:p>
        </w:tc>
      </w:tr>
      <w:tr>
        <w:trPr>
          <w:trHeight w:val="304" w:hRule="atLeast"/>
        </w:trPr>
        <w:tc>
          <w:tcPr>
            <w:tcW w:w="4524"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Injecção  Intravitrea de Antibiótico</w:t>
            </w:r>
          </w:p>
        </w:tc>
        <w:tc>
          <w:tcPr>
            <w:tcW w:w="1964"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21</w:t>
            </w:r>
          </w:p>
        </w:tc>
        <w:tc>
          <w:tcPr>
            <w:tcW w:w="181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3</w:t>
            </w:r>
          </w:p>
        </w:tc>
      </w:tr>
      <w:tr>
        <w:trPr>
          <w:trHeight w:val="277" w:hRule="atLeast"/>
        </w:trPr>
        <w:tc>
          <w:tcPr>
            <w:tcW w:w="4524"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Total dos Actos Médicos</w:t>
            </w:r>
          </w:p>
        </w:tc>
        <w:tc>
          <w:tcPr>
            <w:tcW w:w="1964"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112</w:t>
            </w:r>
          </w:p>
        </w:tc>
        <w:tc>
          <w:tcPr>
            <w:tcW w:w="1813"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color w:val="000000"/>
                <w:sz w:val="24"/>
                <w:szCs w:val="24"/>
                <w:lang w:eastAsia="pt-PT"/>
              </w:rPr>
            </w:pPr>
            <w:r>
              <w:rPr>
                <w:rFonts w:eastAsia="Times New Roman" w:cs="Times New Roman" w:ascii="Times New Roman" w:hAnsi="Times New Roman"/>
                <w:b/>
                <w:color w:val="000000"/>
                <w:sz w:val="24"/>
                <w:szCs w:val="24"/>
                <w:lang w:eastAsia="pt-PT"/>
              </w:rPr>
              <w:t>15</w:t>
            </w:r>
          </w:p>
        </w:tc>
      </w:tr>
      <w:tr>
        <w:trPr>
          <w:trHeight w:val="277" w:hRule="atLeast"/>
        </w:trPr>
        <w:tc>
          <w:tcPr>
            <w:tcW w:w="4524" w:type="dxa"/>
            <w:tcBorders>
              <w:left w:val="single" w:sz="4" w:space="0" w:color="000000"/>
              <w:bottom w:val="single" w:sz="4" w:space="0" w:color="000000"/>
              <w:right w:val="single" w:sz="4" w:space="0" w:color="000000"/>
            </w:tcBorders>
            <w:shd w:color="000000" w:fill="ACB9CA"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TOTAL GERAL</w:t>
            </w:r>
          </w:p>
        </w:tc>
        <w:tc>
          <w:tcPr>
            <w:tcW w:w="1964" w:type="dxa"/>
            <w:tcBorders>
              <w:bottom w:val="single" w:sz="4" w:space="0" w:color="000000"/>
              <w:right w:val="single" w:sz="4" w:space="0" w:color="000000"/>
            </w:tcBorders>
            <w:shd w:color="000000" w:fill="ACB9CA"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767</w:t>
            </w:r>
          </w:p>
        </w:tc>
        <w:tc>
          <w:tcPr>
            <w:tcW w:w="1813" w:type="dxa"/>
            <w:tcBorders>
              <w:bottom w:val="single" w:sz="4" w:space="0" w:color="000000"/>
              <w:right w:val="single" w:sz="4" w:space="0" w:color="000000"/>
            </w:tcBorders>
            <w:shd w:color="000000" w:fill="ACB9CA" w:val="clear"/>
            <w:vAlign w:val="bottom"/>
          </w:tcPr>
          <w:p>
            <w:pPr>
              <w:pStyle w:val="Normal"/>
              <w:spacing w:lineRule="auto" w:line="240" w:before="0" w:after="0"/>
              <w:jc w:val="center"/>
              <w:rPr>
                <w:rFonts w:ascii="Times New Roman" w:hAnsi="Times New Roman" w:eastAsia="Times New Roman" w:cs="Times New Roman"/>
                <w:b/>
                <w:color w:val="000000"/>
                <w:sz w:val="24"/>
                <w:szCs w:val="24"/>
                <w:lang w:eastAsia="pt-PT"/>
              </w:rPr>
            </w:pPr>
            <w:r>
              <w:rPr>
                <w:rFonts w:eastAsia="Times New Roman" w:cs="Times New Roman" w:ascii="Times New Roman" w:hAnsi="Times New Roman"/>
                <w:b/>
                <w:color w:val="000000"/>
                <w:sz w:val="24"/>
                <w:szCs w:val="24"/>
                <w:lang w:eastAsia="pt-PT"/>
              </w:rPr>
              <w:t>100</w:t>
            </w:r>
          </w:p>
        </w:tc>
      </w:tr>
    </w:tbl>
    <w:p>
      <w:pPr>
        <w:pStyle w:val="Normal"/>
        <w:jc w:val="both"/>
        <w:rPr>
          <w:rFonts w:ascii="Times New Roman" w:hAnsi="Times New Roman" w:eastAsia="Times New Roman" w:cs="Times New Roman"/>
          <w:sz w:val="24"/>
          <w:szCs w:val="24"/>
          <w:lang w:val="pt-BR" w:eastAsia="pt-PT"/>
        </w:rPr>
      </w:pPr>
      <w:r/>
      <w:r>
        <w:rPr>
          <w:rFonts w:eastAsia="Times New Roman" w:cs="Times New Roman" w:ascii="Times New Roman" w:hAnsi="Times New Roman"/>
          <w:sz w:val="24"/>
          <w:szCs w:val="24"/>
          <w:lang w:val="pt-BR" w:eastAsia="pt-PT"/>
        </w:rPr>
        <w:t xml:space="preserve"> </w:t>
      </w:r>
    </w:p>
    <w:p>
      <w:pPr>
        <w:pStyle w:val="Normal"/>
        <w:spacing w:lineRule="auto" w:line="240" w:before="0" w:after="0"/>
        <w:jc w:val="both"/>
        <w:rPr>
          <w:rFonts w:ascii="Times New Roman" w:hAnsi="Times New Roman" w:eastAsia="Times New Roman" w:cs="Times New Roman"/>
          <w:sz w:val="24"/>
          <w:szCs w:val="24"/>
          <w:lang w:val="pt-BR" w:eastAsia="pt-PT"/>
        </w:rPr>
      </w:pPr>
      <w:r>
        <w:rPr>
          <w:rFonts w:eastAsia="Times New Roman" w:cs="Times New Roman" w:ascii="Times New Roman" w:hAnsi="Times New Roman"/>
          <w:sz w:val="24"/>
          <w:szCs w:val="24"/>
          <w:lang w:val="pt-BR" w:eastAsia="pt-PT"/>
        </w:rPr>
      </w:r>
    </w:p>
    <w:p>
      <w:pPr>
        <w:pStyle w:val="Normal"/>
        <w:spacing w:lineRule="auto" w:line="240" w:before="0" w:after="0"/>
        <w:jc w:val="both"/>
        <w:rPr>
          <w:rFonts w:ascii="Times New Roman" w:hAnsi="Times New Roman" w:eastAsia="Times New Roman" w:cs="Times New Roman"/>
          <w:color w:val="FF0000"/>
          <w:sz w:val="24"/>
          <w:szCs w:val="24"/>
          <w:lang w:val="pt-BR" w:eastAsia="pt-PT"/>
        </w:rPr>
      </w:pPr>
      <w:r>
        <w:rPr>
          <w:rFonts w:eastAsia="Times New Roman" w:cs="Times New Roman" w:ascii="Times New Roman" w:hAnsi="Times New Roman"/>
          <w:color w:val="FF0000"/>
          <w:sz w:val="24"/>
          <w:szCs w:val="24"/>
          <w:lang w:val="pt-BR" w:eastAsia="pt-PT"/>
        </w:rPr>
      </w:r>
    </w:p>
    <w:p>
      <w:pPr>
        <w:pStyle w:val="Normal"/>
        <w:spacing w:lineRule="auto" w:line="240" w:before="0" w:after="0"/>
        <w:jc w:val="both"/>
        <w:rPr>
          <w:rFonts w:ascii="Times New Roman" w:hAnsi="Times New Roman" w:eastAsia="Times New Roman" w:cs="Times New Roman"/>
          <w:color w:val="FF0000"/>
          <w:sz w:val="24"/>
          <w:szCs w:val="24"/>
          <w:lang w:val="pt-BR" w:eastAsia="pt-PT"/>
        </w:rPr>
      </w:pPr>
      <w:r>
        <w:rPr>
          <w:rFonts w:eastAsia="Times New Roman" w:cs="Times New Roman" w:ascii="Times New Roman" w:hAnsi="Times New Roman"/>
          <w:color w:val="FF0000"/>
          <w:sz w:val="24"/>
          <w:szCs w:val="24"/>
          <w:lang w:val="pt-BR" w:eastAsia="pt-PT"/>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cs="Times New Roman"/>
          <w:b/>
          <w:sz w:val="24"/>
          <w:szCs w:val="24"/>
          <w:lang w:val="pt-BR"/>
        </w:rPr>
      </w:pPr>
      <w:r>
        <w:rPr>
          <w:rFonts w:cs="Times New Roman" w:ascii="Times New Roman" w:hAnsi="Times New Roman"/>
          <w:b/>
          <w:sz w:val="24"/>
          <w:szCs w:val="24"/>
          <w:lang w:val="pt-BR"/>
        </w:rPr>
      </w:r>
    </w:p>
    <w:p>
      <w:pPr>
        <w:pStyle w:val="Normal"/>
        <w:jc w:val="both"/>
        <w:rPr>
          <w:rFonts w:ascii="Times New Roman" w:hAnsi="Times New Roman" w:eastAsia="Times New Roman" w:cs="Times New Roman"/>
          <w:b/>
          <w:sz w:val="24"/>
          <w:szCs w:val="24"/>
          <w:lang w:eastAsia="pt-PT"/>
        </w:rPr>
      </w:pPr>
      <w:r>
        <w:rPr>
          <w:rFonts w:cs="Times New Roman" w:ascii="Times New Roman" w:hAnsi="Times New Roman"/>
          <w:b/>
          <w:sz w:val="24"/>
          <w:szCs w:val="24"/>
          <w:lang w:val="pt-BR"/>
        </w:rPr>
        <w:t xml:space="preserve">Tabela nº 4.1 Actividade Cirúrgica </w:t>
      </w:r>
      <w:r>
        <w:rPr>
          <w:rFonts w:eastAsia="Times New Roman" w:cs="Times New Roman" w:ascii="Times New Roman" w:hAnsi="Times New Roman"/>
          <w:b/>
          <w:sz w:val="24"/>
          <w:szCs w:val="24"/>
          <w:lang w:eastAsia="pt-PT"/>
        </w:rPr>
        <w:t>IONA/ Janeiro 2026</w:t>
      </w:r>
    </w:p>
    <w:p>
      <w:pPr>
        <w:pStyle w:val="Normal"/>
        <w:tabs>
          <w:tab w:val="clear" w:pos="708"/>
          <w:tab w:val="left" w:pos="6870" w:leader="none"/>
        </w:tabs>
        <w:spacing w:lineRule="auto" w:line="240"/>
        <w:jc w:val="both"/>
        <w:rPr>
          <w:rFonts w:ascii="Times New Roman" w:hAnsi="Times New Roman" w:cs="Times New Roman"/>
          <w:sz w:val="24"/>
          <w:szCs w:val="24"/>
        </w:rPr>
      </w:pPr>
      <w:r>
        <w:rPr>
          <w:rFonts w:cs="Times New Roman" w:ascii="Times New Roman" w:hAnsi="Times New Roman"/>
          <w:sz w:val="24"/>
          <w:szCs w:val="24"/>
        </w:rPr>
        <w:t xml:space="preserve">Foram realizadas um total de 767 cirurgias, das quais 80%  electivas, 5% urgências e 15% actos cirúrgicos (injecção subconjuntival ou  subtenoniana, extracção de membranas ou de sutura, etc). </w:t>
      </w:r>
    </w:p>
    <w:tbl>
      <w:tblPr>
        <w:tblW w:w="7858" w:type="dxa"/>
        <w:jc w:val="left"/>
        <w:tblInd w:w="-5" w:type="dxa"/>
        <w:tblLayout w:type="fixed"/>
        <w:tblCellMar>
          <w:top w:w="0" w:type="dxa"/>
          <w:left w:w="70" w:type="dxa"/>
          <w:bottom w:w="0" w:type="dxa"/>
          <w:right w:w="70" w:type="dxa"/>
        </w:tblCellMar>
        <w:tblLook w:val="04a0" w:noHBand="0" w:noVBand="1" w:firstColumn="1" w:lastRow="0" w:lastColumn="0" w:firstRow="1"/>
      </w:tblPr>
      <w:tblGrid>
        <w:gridCol w:w="1930"/>
        <w:gridCol w:w="1753"/>
        <w:gridCol w:w="2846"/>
        <w:gridCol w:w="1328"/>
      </w:tblGrid>
      <w:tr>
        <w:trPr>
          <w:trHeight w:val="708" w:hRule="atLeast"/>
        </w:trPr>
        <w:tc>
          <w:tcPr>
            <w:tcW w:w="7857" w:type="dxa"/>
            <w:gridSpan w:val="4"/>
            <w:tcBorders>
              <w:top w:val="single" w:sz="4" w:space="0" w:color="000000"/>
              <w:left w:val="single" w:sz="4" w:space="0" w:color="000000"/>
              <w:bottom w:val="single" w:sz="4" w:space="0" w:color="000000"/>
              <w:right w:val="single" w:sz="4" w:space="0" w:color="000000"/>
            </w:tcBorders>
            <w:shd w:color="000000" w:fill="BDD7EE" w:val="clear"/>
            <w:vAlign w:val="bottom"/>
          </w:tcPr>
          <w:p>
            <w:pPr>
              <w:pStyle w:val="Normal"/>
              <w:spacing w:before="0" w:after="0"/>
              <w:jc w:val="center"/>
              <w:rPr>
                <w:rFonts w:ascii="Times New Roman" w:hAnsi="Times New Roman" w:eastAsia="Times New Roman" w:cs="Times New Roman"/>
                <w:b/>
                <w:color w:val="000000"/>
                <w:lang w:val="pt-BR" w:eastAsia="pt-BR"/>
              </w:rPr>
            </w:pPr>
            <w:r>
              <w:rPr>
                <w:rFonts w:eastAsia="Times New Roman" w:cs="Times New Roman" w:ascii="Times New Roman" w:hAnsi="Times New Roman"/>
                <w:b/>
                <w:color w:val="000000"/>
                <w:lang w:val="pt-BR" w:eastAsia="pt-BR"/>
              </w:rPr>
              <w:t>CIRURGIA</w:t>
            </w:r>
          </w:p>
        </w:tc>
      </w:tr>
      <w:tr>
        <w:trPr>
          <w:trHeight w:val="708" w:hRule="atLeast"/>
        </w:trPr>
        <w:tc>
          <w:tcPr>
            <w:tcW w:w="1930" w:type="dxa"/>
            <w:tcBorders>
              <w:left w:val="single" w:sz="4" w:space="0" w:color="000000"/>
              <w:bottom w:val="single" w:sz="4" w:space="0" w:color="000000"/>
              <w:right w:val="single" w:sz="4" w:space="0" w:color="000000"/>
            </w:tcBorders>
            <w:vAlign w:val="bottom"/>
          </w:tcPr>
          <w:p>
            <w:pPr>
              <w:pStyle w:val="Normal"/>
              <w:spacing w:before="0" w:after="0"/>
              <w:jc w:val="center"/>
              <w:rPr>
                <w:rFonts w:ascii="Times New Roman" w:hAnsi="Times New Roman" w:eastAsia="Times New Roman" w:cs="Times New Roman"/>
                <w:b/>
                <w:color w:val="000000"/>
                <w:lang w:val="pt-BR" w:eastAsia="pt-BR"/>
              </w:rPr>
            </w:pPr>
            <w:r>
              <w:rPr>
                <w:rFonts w:eastAsia="Times New Roman" w:cs="Times New Roman" w:ascii="Times New Roman" w:hAnsi="Times New Roman"/>
                <w:b/>
                <w:color w:val="000000"/>
                <w:lang w:val="pt-BR" w:eastAsia="pt-BR"/>
              </w:rPr>
              <w:t>Urgências</w:t>
            </w:r>
          </w:p>
        </w:tc>
        <w:tc>
          <w:tcPr>
            <w:tcW w:w="1753" w:type="dxa"/>
            <w:tcBorders>
              <w:bottom w:val="single" w:sz="4" w:space="0" w:color="000000"/>
              <w:right w:val="single" w:sz="4" w:space="0" w:color="000000"/>
            </w:tcBorders>
            <w:vAlign w:val="bottom"/>
          </w:tcPr>
          <w:p>
            <w:pPr>
              <w:pStyle w:val="Normal"/>
              <w:spacing w:before="0" w:after="0"/>
              <w:jc w:val="center"/>
              <w:rPr>
                <w:rFonts w:ascii="Times New Roman" w:hAnsi="Times New Roman" w:eastAsia="Times New Roman" w:cs="Times New Roman"/>
                <w:b/>
                <w:color w:val="000000"/>
                <w:lang w:val="pt-BR" w:eastAsia="pt-BR"/>
              </w:rPr>
            </w:pPr>
            <w:r>
              <w:rPr>
                <w:rFonts w:eastAsia="Times New Roman" w:cs="Times New Roman" w:ascii="Times New Roman" w:hAnsi="Times New Roman"/>
                <w:b/>
                <w:color w:val="000000"/>
                <w:lang w:val="pt-BR" w:eastAsia="pt-BR"/>
              </w:rPr>
              <w:t>Electivas</w:t>
            </w:r>
          </w:p>
        </w:tc>
        <w:tc>
          <w:tcPr>
            <w:tcW w:w="2846" w:type="dxa"/>
            <w:tcBorders>
              <w:bottom w:val="single" w:sz="4" w:space="0" w:color="000000"/>
              <w:right w:val="single" w:sz="4" w:space="0" w:color="000000"/>
            </w:tcBorders>
            <w:vAlign w:val="bottom"/>
          </w:tcPr>
          <w:p>
            <w:pPr>
              <w:pStyle w:val="Normal"/>
              <w:spacing w:before="0" w:after="0"/>
              <w:jc w:val="center"/>
              <w:rPr>
                <w:rFonts w:ascii="Times New Roman" w:hAnsi="Times New Roman" w:eastAsia="Times New Roman" w:cs="Times New Roman"/>
                <w:b/>
                <w:color w:val="000000"/>
                <w:lang w:val="pt-BR" w:eastAsia="pt-BR"/>
              </w:rPr>
            </w:pPr>
            <w:r>
              <w:rPr>
                <w:rFonts w:eastAsia="Times New Roman" w:cs="Times New Roman" w:ascii="Times New Roman" w:hAnsi="Times New Roman"/>
                <w:b/>
                <w:color w:val="000000"/>
                <w:lang w:val="pt-BR" w:eastAsia="pt-BR"/>
              </w:rPr>
              <w:t>Actos  Cirúrgicos</w:t>
            </w:r>
          </w:p>
        </w:tc>
        <w:tc>
          <w:tcPr>
            <w:tcW w:w="1328" w:type="dxa"/>
            <w:tcBorders>
              <w:bottom w:val="single" w:sz="4" w:space="0" w:color="000000"/>
              <w:right w:val="single" w:sz="4" w:space="0" w:color="000000"/>
            </w:tcBorders>
            <w:vAlign w:val="bottom"/>
          </w:tcPr>
          <w:p>
            <w:pPr>
              <w:pStyle w:val="Normal"/>
              <w:spacing w:before="0" w:after="0"/>
              <w:jc w:val="center"/>
              <w:rPr>
                <w:rFonts w:ascii="Times New Roman" w:hAnsi="Times New Roman" w:eastAsia="Times New Roman" w:cs="Times New Roman"/>
                <w:b/>
                <w:color w:val="000000"/>
                <w:lang w:val="pt-BR" w:eastAsia="pt-BR"/>
              </w:rPr>
            </w:pPr>
            <w:r>
              <w:rPr>
                <w:rFonts w:eastAsia="Times New Roman" w:cs="Times New Roman" w:ascii="Times New Roman" w:hAnsi="Times New Roman"/>
                <w:b/>
                <w:color w:val="000000"/>
                <w:lang w:val="pt-BR" w:eastAsia="pt-BR"/>
              </w:rPr>
              <w:t>Total</w:t>
            </w:r>
          </w:p>
        </w:tc>
      </w:tr>
      <w:tr>
        <w:trPr>
          <w:trHeight w:val="708" w:hRule="atLeast"/>
        </w:trPr>
        <w:tc>
          <w:tcPr>
            <w:tcW w:w="1930" w:type="dxa"/>
            <w:tcBorders>
              <w:left w:val="single" w:sz="4" w:space="0" w:color="000000"/>
              <w:bottom w:val="single" w:sz="4" w:space="0" w:color="000000"/>
              <w:right w:val="single" w:sz="4" w:space="0" w:color="000000"/>
            </w:tcBorders>
            <w:vAlign w:val="bottom"/>
          </w:tcPr>
          <w:p>
            <w:pPr>
              <w:pStyle w:val="Normal"/>
              <w:spacing w:before="0" w:after="0"/>
              <w:jc w:val="center"/>
              <w:rPr>
                <w:rFonts w:ascii="Times New Roman" w:hAnsi="Times New Roman" w:eastAsia="Times New Roman" w:cs="Times New Roman"/>
                <w:color w:val="000000"/>
                <w:lang w:val="pt-BR" w:eastAsia="pt-BR"/>
              </w:rPr>
            </w:pPr>
            <w:r>
              <w:rPr>
                <w:rFonts w:eastAsia="Times New Roman" w:cs="Times New Roman" w:ascii="Times New Roman" w:hAnsi="Times New Roman"/>
                <w:color w:val="000000"/>
                <w:lang w:val="pt-BR" w:eastAsia="pt-BR"/>
              </w:rPr>
              <w:t>39</w:t>
            </w:r>
          </w:p>
        </w:tc>
        <w:tc>
          <w:tcPr>
            <w:tcW w:w="1753" w:type="dxa"/>
            <w:tcBorders>
              <w:bottom w:val="single" w:sz="4" w:space="0" w:color="000000"/>
              <w:right w:val="single" w:sz="4" w:space="0" w:color="000000"/>
            </w:tcBorders>
            <w:vAlign w:val="bottom"/>
          </w:tcPr>
          <w:p>
            <w:pPr>
              <w:pStyle w:val="Normal"/>
              <w:spacing w:before="0" w:after="0"/>
              <w:jc w:val="center"/>
              <w:rPr>
                <w:rFonts w:ascii="Times New Roman" w:hAnsi="Times New Roman" w:eastAsia="Times New Roman" w:cs="Times New Roman"/>
                <w:color w:val="000000"/>
                <w:lang w:val="pt-BR" w:eastAsia="pt-BR"/>
              </w:rPr>
            </w:pPr>
            <w:r>
              <w:rPr>
                <w:rFonts w:eastAsia="Times New Roman" w:cs="Times New Roman" w:ascii="Times New Roman" w:hAnsi="Times New Roman"/>
                <w:color w:val="000000"/>
                <w:lang w:val="pt-BR" w:eastAsia="pt-BR"/>
              </w:rPr>
              <w:t>616</w:t>
            </w:r>
          </w:p>
        </w:tc>
        <w:tc>
          <w:tcPr>
            <w:tcW w:w="2846" w:type="dxa"/>
            <w:tcBorders>
              <w:bottom w:val="single" w:sz="4" w:space="0" w:color="000000"/>
              <w:right w:val="single" w:sz="4" w:space="0" w:color="000000"/>
            </w:tcBorders>
            <w:vAlign w:val="bottom"/>
          </w:tcPr>
          <w:p>
            <w:pPr>
              <w:pStyle w:val="Normal"/>
              <w:spacing w:before="0" w:after="0"/>
              <w:jc w:val="center"/>
              <w:rPr>
                <w:rFonts w:ascii="Times New Roman" w:hAnsi="Times New Roman" w:eastAsia="Times New Roman" w:cs="Times New Roman"/>
                <w:color w:val="000000"/>
                <w:lang w:val="pt-BR" w:eastAsia="pt-BR"/>
              </w:rPr>
            </w:pPr>
            <w:r>
              <w:rPr>
                <w:rFonts w:eastAsia="Times New Roman" w:cs="Times New Roman" w:ascii="Times New Roman" w:hAnsi="Times New Roman"/>
                <w:color w:val="000000"/>
                <w:lang w:val="pt-BR" w:eastAsia="pt-BR"/>
              </w:rPr>
              <w:t>112</w:t>
            </w:r>
          </w:p>
        </w:tc>
        <w:tc>
          <w:tcPr>
            <w:tcW w:w="1328" w:type="dxa"/>
            <w:tcBorders>
              <w:bottom w:val="single" w:sz="4" w:space="0" w:color="000000"/>
              <w:right w:val="single" w:sz="4" w:space="0" w:color="000000"/>
            </w:tcBorders>
            <w:vAlign w:val="bottom"/>
          </w:tcPr>
          <w:p>
            <w:pPr>
              <w:pStyle w:val="Normal"/>
              <w:spacing w:before="0" w:after="0"/>
              <w:jc w:val="center"/>
              <w:rPr>
                <w:rFonts w:ascii="Times New Roman" w:hAnsi="Times New Roman" w:eastAsia="Times New Roman" w:cs="Times New Roman"/>
                <w:b/>
                <w:color w:val="000000"/>
                <w:lang w:val="pt-BR" w:eastAsia="pt-BR"/>
              </w:rPr>
            </w:pPr>
            <w:r>
              <w:rPr>
                <w:rFonts w:eastAsia="Times New Roman" w:cs="Times New Roman" w:ascii="Times New Roman" w:hAnsi="Times New Roman"/>
                <w:b/>
                <w:color w:val="000000"/>
                <w:lang w:val="pt-BR" w:eastAsia="pt-BR"/>
              </w:rPr>
              <w:t>767</w:t>
            </w:r>
          </w:p>
        </w:tc>
      </w:tr>
    </w:tbl>
    <w:p>
      <w:pPr>
        <w:pStyle w:val="Normal"/>
        <w:jc w:val="both"/>
        <w:rPr>
          <w:rFonts w:ascii="Times New Roman" w:hAnsi="Times New Roman" w:eastAsia="Times New Roman" w:cs="Times New Roman"/>
          <w:b/>
          <w:color w:val="FF0000"/>
          <w:sz w:val="24"/>
          <w:szCs w:val="24"/>
          <w:lang w:eastAsia="pt-PT"/>
        </w:rPr>
      </w:pPr>
      <w:r>
        <w:rPr>
          <w:rFonts w:eastAsia="Times New Roman" w:cs="Times New Roman" w:ascii="Times New Roman" w:hAnsi="Times New Roman"/>
          <w:b/>
          <w:color w:val="FF0000"/>
          <w:sz w:val="24"/>
          <w:szCs w:val="24"/>
          <w:lang w:eastAsia="pt-PT"/>
        </w:rPr>
      </w:r>
    </w:p>
    <w:p>
      <w:pPr>
        <w:pStyle w:val="Normal"/>
        <w:spacing w:lineRule="auto" w:line="240" w:before="0" w:after="0"/>
        <w:rPr>
          <w:rFonts w:ascii="Times New Roman" w:hAnsi="Times New Roman" w:cs="Times New Roman"/>
          <w:bCs/>
          <w:sz w:val="24"/>
          <w:szCs w:val="24"/>
          <w:lang w:val="pt-BR"/>
        </w:rPr>
      </w:pPr>
      <w:r>
        <w:rPr>
          <w:rFonts w:eastAsia="Times New Roman" w:cs="Times New Roman" w:ascii="Times New Roman" w:hAnsi="Times New Roman"/>
          <w:b/>
          <w:bCs/>
          <w:sz w:val="24"/>
          <w:szCs w:val="24"/>
          <w:lang w:val="pt-BR" w:eastAsia="pt-PT"/>
        </w:rPr>
        <w:t xml:space="preserve">Gráfico </w:t>
      </w:r>
      <w:r>
        <w:rPr>
          <w:rFonts w:cs="Times New Roman" w:ascii="Times New Roman" w:hAnsi="Times New Roman"/>
          <w:b/>
          <w:sz w:val="24"/>
          <w:szCs w:val="24"/>
          <w:lang w:val="pt-BR"/>
        </w:rPr>
        <w:t xml:space="preserve">nº </w:t>
      </w:r>
      <w:r>
        <w:rPr>
          <w:rFonts w:eastAsia="Times New Roman" w:cs="Times New Roman" w:ascii="Times New Roman" w:hAnsi="Times New Roman"/>
          <w:b/>
          <w:bCs/>
          <w:sz w:val="24"/>
          <w:szCs w:val="24"/>
          <w:lang w:val="pt-BR" w:eastAsia="pt-PT"/>
        </w:rPr>
        <w:t xml:space="preserve">3. </w:t>
      </w:r>
      <w:r>
        <w:rPr>
          <w:rFonts w:cs="Times New Roman" w:ascii="Times New Roman" w:hAnsi="Times New Roman"/>
          <w:b/>
          <w:sz w:val="24"/>
          <w:szCs w:val="24"/>
          <w:lang w:val="pt-BR"/>
        </w:rPr>
        <w:t xml:space="preserve">Actividade Cirúrgica </w:t>
      </w:r>
      <w:r>
        <w:rPr>
          <w:rFonts w:eastAsia="Times New Roman" w:cs="Times New Roman" w:ascii="Times New Roman" w:hAnsi="Times New Roman"/>
          <w:b/>
          <w:sz w:val="24"/>
          <w:szCs w:val="24"/>
          <w:lang w:eastAsia="pt-PT"/>
        </w:rPr>
        <w:t>IONA/ 2025</w:t>
      </w:r>
    </w:p>
    <w:p>
      <w:pPr>
        <w:pStyle w:val="Normal"/>
        <w:tabs>
          <w:tab w:val="clear" w:pos="708"/>
          <w:tab w:val="left" w:pos="6870" w:leader="none"/>
        </w:tabs>
        <w:spacing w:lineRule="auto" w:line="240"/>
        <w:jc w:val="both"/>
        <w:rPr>
          <w:rFonts w:ascii="Times New Roman" w:hAnsi="Times New Roman" w:cs="Times New Roman"/>
          <w:color w:val="FF0000"/>
          <w:sz w:val="24"/>
          <w:szCs w:val="24"/>
          <w:lang w:val="pt-BR"/>
        </w:rPr>
      </w:pPr>
      <w:r>
        <w:rPr>
          <w:rFonts w:cs="Times New Roman" w:ascii="Times New Roman" w:hAnsi="Times New Roman"/>
          <w:color w:val="FF0000"/>
          <w:sz w:val="24"/>
          <w:szCs w:val="24"/>
          <w:lang w:val="pt-BR"/>
        </w:rPr>
      </w:r>
    </w:p>
    <w:p>
      <w:pPr>
        <w:pStyle w:val="Normal"/>
        <w:spacing w:lineRule="auto" w:line="240" w:before="0" w:after="0"/>
        <w:rPr>
          <w:rFonts w:ascii="Times New Roman" w:hAnsi="Times New Roman" w:cs="Times New Roman"/>
          <w:sz w:val="24"/>
          <w:szCs w:val="24"/>
        </w:rPr>
      </w:pPr>
      <w:r>
        <w:rPr/>
        <w:drawing>
          <wp:inline distT="0" distB="0" distL="0" distR="0">
            <wp:extent cx="4343400" cy="2752725"/>
            <wp:effectExtent l="0" t="0" r="0" b="0"/>
            <wp:docPr id="5" name="Gráfico 4"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pPr>
        <w:pStyle w:val="Normal"/>
        <w:spacing w:lineRule="auto" w:line="240" w:before="0" w:after="0"/>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t xml:space="preserve">Tabela </w:t>
      </w:r>
      <w:r>
        <w:rPr>
          <w:rFonts w:cs="Times New Roman" w:ascii="Times New Roman" w:hAnsi="Times New Roman"/>
          <w:b/>
          <w:sz w:val="24"/>
          <w:szCs w:val="24"/>
          <w:lang w:val="pt-BR"/>
        </w:rPr>
        <w:t>nº</w:t>
      </w:r>
      <w:r>
        <w:rPr>
          <w:rFonts w:eastAsia="Times New Roman" w:cs="Times New Roman" w:ascii="Times New Roman" w:hAnsi="Times New Roman"/>
          <w:b/>
          <w:bCs/>
          <w:sz w:val="24"/>
          <w:szCs w:val="24"/>
          <w:lang w:val="pt-BR" w:eastAsia="pt-PT"/>
        </w:rPr>
        <w:t xml:space="preserve"> 4.2. Índice de Cancelamento Cirúrgico IONA/ Janeiro 2026</w:t>
      </w:r>
    </w:p>
    <w:p>
      <w:pPr>
        <w:pStyle w:val="Normal"/>
        <w:spacing w:lineRule="auto" w:line="240" w:before="0" w:after="0"/>
        <w:jc w:val="both"/>
        <w:rPr>
          <w:rFonts w:ascii="Times New Roman" w:hAnsi="Times New Roman" w:cs="Times New Roman"/>
          <w:bCs/>
          <w:sz w:val="24"/>
          <w:szCs w:val="24"/>
        </w:rPr>
      </w:pPr>
      <w:r>
        <w:rPr>
          <w:rFonts w:cs="Times New Roman" w:ascii="Times New Roman" w:hAnsi="Times New Roman"/>
          <w:bCs/>
          <w:sz w:val="24"/>
          <w:szCs w:val="24"/>
        </w:rPr>
      </w:r>
    </w:p>
    <w:p>
      <w:pPr>
        <w:pStyle w:val="Normal"/>
        <w:rPr>
          <w:rFonts w:ascii="Times New Roman" w:hAnsi="Times New Roman" w:cs="Times New Roman"/>
          <w:sz w:val="24"/>
          <w:szCs w:val="24"/>
        </w:rPr>
      </w:pPr>
      <w:r>
        <w:rPr>
          <w:rFonts w:cs="Times New Roman" w:ascii="Times New Roman" w:hAnsi="Times New Roman"/>
          <w:bCs/>
          <w:sz w:val="24"/>
          <w:szCs w:val="24"/>
        </w:rPr>
        <w:t xml:space="preserve">O índice de cancelamento de cirurgias foi de 12%, com </w:t>
      </w:r>
      <w:r>
        <w:rPr>
          <w:rFonts w:cs="Times New Roman" w:ascii="Times New Roman" w:hAnsi="Times New Roman"/>
          <w:sz w:val="24"/>
          <w:szCs w:val="24"/>
        </w:rPr>
        <w:t>702 cirurgias</w:t>
      </w:r>
      <w:r>
        <w:rPr>
          <w:rFonts w:cs="Times New Roman" w:ascii="Times New Roman" w:hAnsi="Times New Roman"/>
          <w:bCs/>
          <w:sz w:val="24"/>
          <w:szCs w:val="24"/>
        </w:rPr>
        <w:t xml:space="preserve"> programadas, </w:t>
      </w:r>
      <w:r>
        <w:rPr>
          <w:rFonts w:cs="Times New Roman" w:ascii="Times New Roman" w:hAnsi="Times New Roman"/>
          <w:sz w:val="24"/>
          <w:szCs w:val="24"/>
        </w:rPr>
        <w:t xml:space="preserve"> realizadas 616 electivas e canceladas 86.   </w:t>
      </w:r>
    </w:p>
    <w:tbl>
      <w:tblPr>
        <w:tblpPr w:vertAnchor="text" w:horzAnchor="margin" w:leftFromText="141" w:rightFromText="141" w:tblpX="0" w:tblpY="141"/>
        <w:tblW w:w="7175" w:type="dxa"/>
        <w:jc w:val="left"/>
        <w:tblInd w:w="-5" w:type="dxa"/>
        <w:tblLayout w:type="fixed"/>
        <w:tblCellMar>
          <w:top w:w="0" w:type="dxa"/>
          <w:left w:w="70" w:type="dxa"/>
          <w:bottom w:w="0" w:type="dxa"/>
          <w:right w:w="70" w:type="dxa"/>
        </w:tblCellMar>
        <w:tblLook w:val="04a0" w:noHBand="0" w:noVBand="1" w:firstColumn="1" w:lastRow="0" w:lastColumn="0" w:firstRow="1"/>
      </w:tblPr>
      <w:tblGrid>
        <w:gridCol w:w="1510"/>
        <w:gridCol w:w="1273"/>
        <w:gridCol w:w="1331"/>
        <w:gridCol w:w="1422"/>
        <w:gridCol w:w="1639"/>
      </w:tblGrid>
      <w:tr>
        <w:trPr>
          <w:trHeight w:val="664" w:hRule="atLeast"/>
        </w:trPr>
        <w:tc>
          <w:tcPr>
            <w:tcW w:w="4114" w:type="dxa"/>
            <w:gridSpan w:val="3"/>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lineRule="auto" w:line="240" w:before="0" w:after="0"/>
              <w:jc w:val="center"/>
              <w:rPr>
                <w:rFonts w:ascii="Times New Roman" w:hAnsi="Times New Roman" w:cs="Times New Roman"/>
                <w:bCs/>
              </w:rPr>
            </w:pPr>
            <w:r>
              <w:rPr>
                <w:rFonts w:cs="Times New Roman" w:ascii="Times New Roman" w:hAnsi="Times New Roman"/>
                <w:bCs/>
              </w:rPr>
              <w:t>CIRURGIAS ELECTIVAS</w:t>
            </w:r>
          </w:p>
        </w:tc>
        <w:tc>
          <w:tcPr>
            <w:tcW w:w="1422" w:type="dxa"/>
            <w:vMerge w:val="restart"/>
            <w:tcBorders>
              <w:top w:val="single" w:sz="8" w:space="0" w:color="000000"/>
              <w:left w:val="single" w:sz="4" w:space="0" w:color="000000"/>
              <w:bottom w:val="single" w:sz="8" w:space="0" w:color="000000"/>
              <w:right w:val="single" w:sz="8" w:space="0" w:color="000000"/>
            </w:tcBorders>
            <w:shd w:color="auto" w:fill="B8CCE4" w:themeFill="accent1" w:themeFillTint="66" w:val="clear"/>
            <w:vAlign w:val="center"/>
          </w:tcPr>
          <w:p>
            <w:pPr>
              <w:pStyle w:val="Normal"/>
              <w:spacing w:lineRule="auto" w:line="240" w:before="0" w:after="0"/>
              <w:jc w:val="center"/>
              <w:rPr>
                <w:rFonts w:ascii="Times New Roman" w:hAnsi="Times New Roman" w:cs="Times New Roman"/>
                <w:bCs/>
              </w:rPr>
            </w:pPr>
            <w:r>
              <w:rPr>
                <w:rFonts w:cs="Times New Roman" w:ascii="Times New Roman" w:hAnsi="Times New Roman"/>
                <w:bCs/>
              </w:rPr>
              <w:t>TOTAL</w:t>
            </w:r>
          </w:p>
          <w:p>
            <w:pPr>
              <w:pStyle w:val="Normal"/>
              <w:spacing w:lineRule="auto" w:line="240" w:before="0" w:after="0"/>
              <w:jc w:val="center"/>
              <w:rPr>
                <w:rFonts w:ascii="Times New Roman" w:hAnsi="Times New Roman" w:cs="Times New Roman"/>
                <w:bCs/>
              </w:rPr>
            </w:pPr>
            <w:r>
              <w:rPr>
                <w:rFonts w:cs="Times New Roman" w:ascii="Times New Roman" w:hAnsi="Times New Roman"/>
                <w:bCs/>
              </w:rPr>
              <w:t>(Realizadas)</w:t>
            </w:r>
          </w:p>
        </w:tc>
        <w:tc>
          <w:tcPr>
            <w:tcW w:w="1639" w:type="dxa"/>
            <w:vMerge w:val="restart"/>
            <w:tcBorders>
              <w:top w:val="single" w:sz="8" w:space="0" w:color="000000"/>
              <w:left w:val="single" w:sz="8" w:space="0" w:color="000000"/>
              <w:bottom w:val="single" w:sz="8" w:space="0" w:color="000000"/>
              <w:right w:val="single" w:sz="8" w:space="0" w:color="000000"/>
            </w:tcBorders>
            <w:shd w:color="auto" w:fill="B8CCE4" w:themeFill="accent1" w:themeFillTint="66" w:val="clear"/>
            <w:vAlign w:val="center"/>
          </w:tcPr>
          <w:p>
            <w:pPr>
              <w:pStyle w:val="Normal"/>
              <w:spacing w:lineRule="auto" w:line="240" w:before="0" w:after="0"/>
              <w:jc w:val="center"/>
              <w:rPr>
                <w:rFonts w:ascii="Times New Roman" w:hAnsi="Times New Roman" w:cs="Times New Roman"/>
                <w:bCs/>
              </w:rPr>
            </w:pPr>
            <w:r>
              <w:rPr>
                <w:rFonts w:cs="Times New Roman" w:ascii="Times New Roman" w:hAnsi="Times New Roman"/>
                <w:bCs/>
              </w:rPr>
              <w:t xml:space="preserve">ÍNDICE </w:t>
            </w:r>
          </w:p>
          <w:p>
            <w:pPr>
              <w:pStyle w:val="Normal"/>
              <w:spacing w:lineRule="auto" w:line="240" w:before="0" w:after="0"/>
              <w:jc w:val="center"/>
              <w:rPr>
                <w:rFonts w:ascii="Times New Roman" w:hAnsi="Times New Roman" w:cs="Times New Roman"/>
                <w:bCs/>
              </w:rPr>
            </w:pPr>
            <w:r>
              <w:rPr>
                <w:rFonts w:cs="Times New Roman" w:ascii="Times New Roman" w:hAnsi="Times New Roman"/>
                <w:bCs/>
              </w:rPr>
              <w:t>de</w:t>
            </w:r>
          </w:p>
          <w:p>
            <w:pPr>
              <w:pStyle w:val="Normal"/>
              <w:spacing w:lineRule="auto" w:line="240" w:before="0" w:after="0"/>
              <w:jc w:val="center"/>
              <w:rPr>
                <w:rFonts w:ascii="Times New Roman" w:hAnsi="Times New Roman" w:cs="Times New Roman"/>
                <w:bCs/>
              </w:rPr>
            </w:pPr>
            <w:r>
              <w:rPr>
                <w:rFonts w:cs="Times New Roman" w:ascii="Times New Roman" w:hAnsi="Times New Roman"/>
                <w:bCs/>
              </w:rPr>
              <w:t>Cancelamento</w:t>
            </w:r>
          </w:p>
        </w:tc>
      </w:tr>
      <w:tr>
        <w:trPr>
          <w:trHeight w:val="582" w:hRule="atLeast"/>
        </w:trPr>
        <w:tc>
          <w:tcPr>
            <w:tcW w:w="1510"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spacing w:lineRule="auto" w:line="240" w:before="0" w:after="0"/>
              <w:jc w:val="center"/>
              <w:rPr>
                <w:rFonts w:ascii="Times New Roman" w:hAnsi="Times New Roman" w:cs="Times New Roman"/>
                <w:bCs/>
              </w:rPr>
            </w:pPr>
            <w:r>
              <w:rPr>
                <w:rFonts w:cs="Times New Roman" w:ascii="Times New Roman" w:hAnsi="Times New Roman"/>
                <w:bCs/>
              </w:rPr>
              <w:t>Programadas</w:t>
            </w:r>
          </w:p>
        </w:tc>
        <w:tc>
          <w:tcPr>
            <w:tcW w:w="1273"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spacing w:lineRule="auto" w:line="240" w:before="0" w:after="0"/>
              <w:jc w:val="center"/>
              <w:rPr>
                <w:rFonts w:ascii="Times New Roman" w:hAnsi="Times New Roman" w:cs="Times New Roman"/>
                <w:bCs/>
              </w:rPr>
            </w:pPr>
            <w:r>
              <w:rPr>
                <w:rFonts w:cs="Times New Roman" w:ascii="Times New Roman" w:hAnsi="Times New Roman"/>
                <w:bCs/>
              </w:rPr>
              <w:t>Realizadas</w:t>
            </w:r>
          </w:p>
        </w:tc>
        <w:tc>
          <w:tcPr>
            <w:tcW w:w="1331"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spacing w:lineRule="auto" w:line="240" w:before="0" w:after="0"/>
              <w:jc w:val="center"/>
              <w:rPr>
                <w:rFonts w:ascii="Times New Roman" w:hAnsi="Times New Roman" w:cs="Times New Roman"/>
                <w:bCs/>
              </w:rPr>
            </w:pPr>
            <w:r>
              <w:rPr>
                <w:rFonts w:cs="Times New Roman" w:ascii="Times New Roman" w:hAnsi="Times New Roman"/>
                <w:bCs/>
              </w:rPr>
              <w:t>Canceladas</w:t>
            </w:r>
          </w:p>
        </w:tc>
        <w:tc>
          <w:tcPr>
            <w:tcW w:w="1422" w:type="dxa"/>
            <w:vMerge w:val="continue"/>
            <w:tcBorders>
              <w:top w:val="single" w:sz="8" w:space="0" w:color="000000"/>
              <w:left w:val="single" w:sz="4" w:space="0" w:color="000000"/>
              <w:bottom w:val="single" w:sz="8" w:space="0" w:color="000000"/>
              <w:right w:val="single" w:sz="8" w:space="0" w:color="000000"/>
            </w:tcBorders>
            <w:shd w:color="auto" w:fill="B8CCE4" w:themeFill="accent1" w:themeFillTint="66" w:val="clear"/>
            <w:vAlign w:val="center"/>
          </w:tcPr>
          <w:p>
            <w:pPr>
              <w:pStyle w:val="Normal"/>
              <w:spacing w:before="0" w:after="0"/>
              <w:rPr>
                <w:rFonts w:ascii="Times New Roman" w:hAnsi="Times New Roman" w:cs="Times New Roman"/>
                <w:bCs/>
                <w:lang w:val="pt-BR"/>
              </w:rPr>
            </w:pPr>
            <w:r>
              <w:rPr>
                <w:rFonts w:cs="Times New Roman" w:ascii="Times New Roman" w:hAnsi="Times New Roman"/>
                <w:bCs/>
                <w:lang w:val="pt-BR"/>
              </w:rPr>
            </w:r>
          </w:p>
        </w:tc>
        <w:tc>
          <w:tcPr>
            <w:tcW w:w="1639" w:type="dxa"/>
            <w:vMerge w:val="continue"/>
            <w:tcBorders>
              <w:top w:val="single" w:sz="8" w:space="0" w:color="000000"/>
              <w:left w:val="single" w:sz="8" w:space="0" w:color="000000"/>
              <w:bottom w:val="single" w:sz="8" w:space="0" w:color="000000"/>
              <w:right w:val="single" w:sz="8" w:space="0" w:color="000000"/>
            </w:tcBorders>
            <w:shd w:color="auto" w:fill="B8CCE4" w:themeFill="accent1" w:themeFillTint="66" w:val="clear"/>
            <w:vAlign w:val="center"/>
          </w:tcPr>
          <w:p>
            <w:pPr>
              <w:pStyle w:val="Normal"/>
              <w:spacing w:before="0" w:after="0"/>
              <w:rPr>
                <w:rFonts w:ascii="Times New Roman" w:hAnsi="Times New Roman" w:cs="Times New Roman"/>
                <w:bCs/>
                <w:lang w:val="pt-BR"/>
              </w:rPr>
            </w:pPr>
            <w:r>
              <w:rPr>
                <w:rFonts w:cs="Times New Roman" w:ascii="Times New Roman" w:hAnsi="Times New Roman"/>
                <w:bCs/>
                <w:lang w:val="pt-BR"/>
              </w:rPr>
            </w:r>
          </w:p>
        </w:tc>
      </w:tr>
      <w:tr>
        <w:trPr>
          <w:trHeight w:val="578" w:hRule="atLeast"/>
        </w:trPr>
        <w:tc>
          <w:tcPr>
            <w:tcW w:w="15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s="Times New Roman"/>
                <w:bCs/>
              </w:rPr>
            </w:pPr>
            <w:r>
              <w:rPr>
                <w:rFonts w:cs="Times New Roman" w:ascii="Times New Roman" w:hAnsi="Times New Roman"/>
                <w:bCs/>
              </w:rPr>
              <w:t>702</w:t>
            </w:r>
          </w:p>
        </w:tc>
        <w:tc>
          <w:tcPr>
            <w:tcW w:w="12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s="Times New Roman"/>
                <w:bCs/>
              </w:rPr>
            </w:pPr>
            <w:r>
              <w:rPr>
                <w:rFonts w:cs="Times New Roman" w:ascii="Times New Roman" w:hAnsi="Times New Roman"/>
                <w:bCs/>
              </w:rPr>
              <w:t>616</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cs="Times New Roman"/>
                <w:bCs/>
              </w:rPr>
            </w:pPr>
            <w:r>
              <w:rPr>
                <w:rFonts w:cs="Times New Roman" w:ascii="Times New Roman" w:hAnsi="Times New Roman"/>
                <w:bCs/>
              </w:rPr>
              <w:t>86</w:t>
            </w:r>
          </w:p>
        </w:tc>
        <w:tc>
          <w:tcPr>
            <w:tcW w:w="1422" w:type="dxa"/>
            <w:tcBorders>
              <w:left w:val="single" w:sz="4" w:space="0" w:color="000000"/>
              <w:bottom w:val="single" w:sz="8" w:space="0" w:color="000000"/>
              <w:right w:val="single" w:sz="8" w:space="0" w:color="000000"/>
            </w:tcBorders>
            <w:vAlign w:val="center"/>
          </w:tcPr>
          <w:p>
            <w:pPr>
              <w:pStyle w:val="Normal"/>
              <w:spacing w:lineRule="auto" w:line="240" w:before="0" w:after="0"/>
              <w:jc w:val="center"/>
              <w:rPr>
                <w:rFonts w:ascii="Times New Roman" w:hAnsi="Times New Roman" w:cs="Times New Roman"/>
                <w:bCs/>
              </w:rPr>
            </w:pPr>
            <w:r>
              <w:rPr>
                <w:rFonts w:cs="Times New Roman" w:ascii="Times New Roman" w:hAnsi="Times New Roman"/>
                <w:bCs/>
              </w:rPr>
              <w:t>616</w:t>
            </w:r>
          </w:p>
        </w:tc>
        <w:tc>
          <w:tcPr>
            <w:tcW w:w="1639" w:type="dxa"/>
            <w:tcBorders>
              <w:bottom w:val="single" w:sz="8" w:space="0" w:color="000000"/>
              <w:right w:val="single" w:sz="8" w:space="0" w:color="000000"/>
            </w:tcBorders>
            <w:vAlign w:val="center"/>
          </w:tcPr>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12%</w:t>
            </w:r>
          </w:p>
        </w:tc>
      </w:tr>
    </w:tbl>
    <w:p>
      <w:pPr>
        <w:pStyle w:val="Normal"/>
        <w:rPr>
          <w:rFonts w:ascii="Times New Roman" w:hAnsi="Times New Roman" w:eastAsia="Times New Roman" w:cs="Times New Roman"/>
          <w:b/>
          <w:color w:val="FF0000"/>
          <w:sz w:val="24"/>
          <w:szCs w:val="24"/>
          <w:lang w:eastAsia="pt-PT"/>
        </w:rPr>
      </w:pPr>
      <w:r>
        <w:rPr>
          <w:rFonts w:eastAsia="Times New Roman" w:cs="Times New Roman" w:ascii="Times New Roman" w:hAnsi="Times New Roman"/>
          <w:b/>
          <w:color w:val="FF0000"/>
          <w:sz w:val="24"/>
          <w:szCs w:val="24"/>
          <w:lang w:eastAsia="pt-PT"/>
        </w:rPr>
      </w:r>
    </w:p>
    <w:p>
      <w:pPr>
        <w:pStyle w:val="Normal"/>
        <w:spacing w:lineRule="auto" w:line="240" w:before="0" w:after="0"/>
        <w:jc w:val="both"/>
        <w:rPr>
          <w:rFonts w:ascii="Times New Roman" w:hAnsi="Times New Roman" w:eastAsia="Times New Roman" w:cs="Times New Roman"/>
          <w:b/>
          <w:color w:val="FF0000"/>
          <w:sz w:val="24"/>
          <w:szCs w:val="24"/>
          <w:lang w:eastAsia="pt-PT"/>
        </w:rPr>
      </w:pPr>
      <w:r>
        <w:rPr>
          <w:rFonts w:eastAsia="Times New Roman" w:cs="Times New Roman" w:ascii="Times New Roman" w:hAnsi="Times New Roman"/>
          <w:b/>
          <w:color w:val="FF0000"/>
          <w:sz w:val="24"/>
          <w:szCs w:val="24"/>
          <w:lang w:eastAsia="pt-PT"/>
        </w:rPr>
      </w:r>
    </w:p>
    <w:p>
      <w:pPr>
        <w:pStyle w:val="Normal"/>
        <w:spacing w:lineRule="auto" w:line="240" w:before="0" w:after="0"/>
        <w:jc w:val="both"/>
        <w:rPr>
          <w:rFonts w:ascii="Times New Roman" w:hAnsi="Times New Roman" w:eastAsia="Times New Roman" w:cs="Times New Roman"/>
          <w:bCs/>
          <w:color w:val="FF0000"/>
          <w:sz w:val="24"/>
          <w:szCs w:val="24"/>
          <w:lang w:val="pt-BR" w:eastAsia="pt-PT"/>
        </w:rPr>
      </w:pPr>
      <w:r>
        <w:rPr>
          <w:rFonts w:eastAsia="Times New Roman" w:cs="Times New Roman" w:ascii="Times New Roman" w:hAnsi="Times New Roman"/>
          <w:bCs/>
          <w:color w:val="FF0000"/>
          <w:sz w:val="24"/>
          <w:szCs w:val="24"/>
          <w:lang w:val="pt-BR" w:eastAsia="pt-PT"/>
        </w:rPr>
      </w:r>
    </w:p>
    <w:p>
      <w:pPr>
        <w:pStyle w:val="Normal"/>
        <w:spacing w:lineRule="auto" w:line="240" w:before="0" w:after="0"/>
        <w:jc w:val="both"/>
        <w:rPr>
          <w:rFonts w:ascii="Times New Roman" w:hAnsi="Times New Roman" w:eastAsia="Times New Roman" w:cs="Times New Roman"/>
          <w:bCs/>
          <w:color w:val="FF0000"/>
          <w:sz w:val="24"/>
          <w:szCs w:val="24"/>
          <w:lang w:val="pt-BR" w:eastAsia="pt-PT"/>
        </w:rPr>
      </w:pPr>
      <w:r>
        <w:rPr>
          <w:rFonts w:eastAsia="Times New Roman" w:cs="Times New Roman" w:ascii="Times New Roman" w:hAnsi="Times New Roman"/>
          <w:bCs/>
          <w:color w:val="FF0000"/>
          <w:sz w:val="24"/>
          <w:szCs w:val="24"/>
          <w:lang w:val="pt-BR" w:eastAsia="pt-PT"/>
        </w:rPr>
      </w:r>
    </w:p>
    <w:p>
      <w:pPr>
        <w:pStyle w:val="Normal"/>
        <w:spacing w:lineRule="auto" w:line="240" w:before="0" w:after="0"/>
        <w:jc w:val="both"/>
        <w:rPr>
          <w:rFonts w:ascii="Times New Roman" w:hAnsi="Times New Roman" w:eastAsia="Times New Roman" w:cs="Times New Roman"/>
          <w:bCs/>
          <w:color w:val="FF0000"/>
          <w:sz w:val="24"/>
          <w:szCs w:val="24"/>
          <w:lang w:val="pt-BR" w:eastAsia="pt-PT"/>
        </w:rPr>
      </w:pPr>
      <w:r>
        <w:rPr>
          <w:rFonts w:eastAsia="Times New Roman" w:cs="Times New Roman" w:ascii="Times New Roman" w:hAnsi="Times New Roman"/>
          <w:bCs/>
          <w:color w:val="FF0000"/>
          <w:sz w:val="24"/>
          <w:szCs w:val="24"/>
          <w:lang w:val="pt-BR" w:eastAsia="pt-PT"/>
        </w:rPr>
      </w:r>
    </w:p>
    <w:p>
      <w:pPr>
        <w:pStyle w:val="Normal"/>
        <w:spacing w:lineRule="auto" w:line="240" w:before="0" w:after="0"/>
        <w:jc w:val="both"/>
        <w:rPr>
          <w:rFonts w:ascii="Times New Roman" w:hAnsi="Times New Roman" w:eastAsia="Times New Roman" w:cs="Times New Roman"/>
          <w:b/>
          <w:color w:val="FF0000"/>
          <w:sz w:val="24"/>
          <w:szCs w:val="24"/>
          <w:lang w:val="pt-BR" w:eastAsia="pt-PT"/>
        </w:rPr>
      </w:pPr>
      <w:r>
        <w:rPr>
          <w:rFonts w:eastAsia="Times New Roman" w:cs="Times New Roman" w:ascii="Times New Roman" w:hAnsi="Times New Roman"/>
          <w:b/>
          <w:color w:val="FF0000"/>
          <w:sz w:val="24"/>
          <w:szCs w:val="24"/>
          <w:lang w:val="pt-BR" w:eastAsia="pt-PT"/>
        </w:rPr>
      </w:r>
    </w:p>
    <w:p>
      <w:pPr>
        <w:pStyle w:val="Normal"/>
        <w:spacing w:lineRule="auto" w:line="240" w:before="0" w:after="0"/>
        <w:jc w:val="both"/>
        <w:rPr>
          <w:rFonts w:ascii="Times New Roman" w:hAnsi="Times New Roman" w:eastAsia="Times New Roman" w:cs="Times New Roman"/>
          <w:b/>
          <w:color w:themeColor="text1" w:val="000000"/>
          <w:sz w:val="24"/>
          <w:szCs w:val="24"/>
          <w:lang w:val="pt-BR" w:eastAsia="pt-PT"/>
        </w:rPr>
      </w:pPr>
      <w:r>
        <w:rPr>
          <w:rFonts w:eastAsia="Times New Roman" w:cs="Times New Roman" w:ascii="Times New Roman" w:hAnsi="Times New Roman"/>
          <w:b/>
          <w:color w:themeColor="text1" w:val="000000"/>
          <w:sz w:val="24"/>
          <w:szCs w:val="24"/>
          <w:lang w:val="pt-BR" w:eastAsia="pt-PT"/>
        </w:rPr>
      </w:r>
    </w:p>
    <w:p>
      <w:pPr>
        <w:pStyle w:val="Normal"/>
        <w:spacing w:lineRule="auto" w:line="240" w:before="0" w:after="0"/>
        <w:jc w:val="both"/>
        <w:rPr>
          <w:rFonts w:ascii="Times New Roman" w:hAnsi="Times New Roman" w:eastAsia="Times New Roman" w:cs="Times New Roman"/>
          <w:b/>
          <w:color w:themeColor="text1" w:val="000000"/>
          <w:sz w:val="24"/>
          <w:szCs w:val="24"/>
          <w:lang w:val="pt-BR" w:eastAsia="pt-PT"/>
        </w:rPr>
      </w:pPr>
      <w:r>
        <w:rPr>
          <w:rFonts w:eastAsia="Times New Roman" w:cs="Times New Roman" w:ascii="Times New Roman" w:hAnsi="Times New Roman"/>
          <w:b/>
          <w:color w:themeColor="text1" w:val="000000"/>
          <w:sz w:val="24"/>
          <w:szCs w:val="24"/>
          <w:lang w:val="pt-BR" w:eastAsia="pt-PT"/>
        </w:rPr>
        <w:t xml:space="preserve">                                                                                                                                     </w:t>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sz w:val="24"/>
          <w:szCs w:val="24"/>
          <w:lang w:val="pt-BR" w:eastAsia="pt-PT"/>
        </w:rPr>
        <w:t xml:space="preserve">Tabela </w:t>
      </w:r>
      <w:r>
        <w:rPr>
          <w:rFonts w:cs="Times New Roman" w:ascii="Times New Roman" w:hAnsi="Times New Roman"/>
          <w:b/>
          <w:sz w:val="24"/>
          <w:szCs w:val="24"/>
          <w:lang w:val="pt-BR"/>
        </w:rPr>
        <w:t>nº 4</w:t>
      </w:r>
      <w:r>
        <w:rPr>
          <w:rFonts w:eastAsia="Times New Roman" w:cs="Times New Roman" w:ascii="Times New Roman" w:hAnsi="Times New Roman"/>
          <w:b/>
          <w:sz w:val="24"/>
          <w:szCs w:val="24"/>
          <w:lang w:val="pt-BR" w:eastAsia="pt-PT"/>
        </w:rPr>
        <w:t xml:space="preserve">.3. Causas de Cancelamento de Cirurgias </w:t>
      </w:r>
      <w:r>
        <w:rPr>
          <w:rFonts w:eastAsia="Times New Roman" w:cs="Times New Roman" w:ascii="Times New Roman" w:hAnsi="Times New Roman"/>
          <w:b/>
          <w:bCs/>
          <w:sz w:val="24"/>
          <w:szCs w:val="24"/>
          <w:lang w:val="pt-BR" w:eastAsia="pt-PT"/>
        </w:rPr>
        <w:t>IONA/ Janeiro 2026</w:t>
      </w:r>
    </w:p>
    <w:p>
      <w:pPr>
        <w:pStyle w:val="Normal"/>
        <w:spacing w:lineRule="auto" w:line="240" w:before="0" w:after="0"/>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spacing w:before="0" w:after="0"/>
        <w:contextualSpacing/>
        <w:jc w:val="both"/>
        <w:rPr>
          <w:rFonts w:ascii="Times New Roman" w:hAnsi="Times New Roman" w:eastAsia="Calibri" w:cs="Times New Roman"/>
          <w:sz w:val="24"/>
          <w:szCs w:val="24"/>
        </w:rPr>
      </w:pPr>
      <w:r>
        <w:rPr>
          <w:rFonts w:eastAsia="Calibri" w:cs="Times New Roman" w:ascii="Times New Roman" w:hAnsi="Times New Roman"/>
          <w:sz w:val="24"/>
          <w:szCs w:val="24"/>
        </w:rPr>
        <w:t>Foram canceladas 86 cirurgias electivas, sendo a Falta de Comparência com 47% (40), seguido pela  Critério Médico com 28%  (24) as principais causas de cancelamento.</w:t>
      </w:r>
    </w:p>
    <w:p>
      <w:pPr>
        <w:pStyle w:val="Normal"/>
        <w:spacing w:lineRule="auto" w:line="240" w:before="0" w:after="0"/>
        <w:contextualSpacing/>
        <w:jc w:val="both"/>
        <w:rPr>
          <w:rFonts w:ascii="Times New Roman" w:hAnsi="Times New Roman" w:eastAsia="Calibri" w:cs="Times New Roman"/>
          <w:color w:val="FF0000"/>
          <w:sz w:val="24"/>
          <w:szCs w:val="24"/>
        </w:rPr>
      </w:pPr>
      <w:r>
        <w:rPr>
          <w:rFonts w:eastAsia="Calibri" w:cs="Times New Roman" w:ascii="Times New Roman" w:hAnsi="Times New Roman"/>
          <w:color w:val="FF0000"/>
          <w:sz w:val="24"/>
          <w:szCs w:val="24"/>
        </w:rPr>
      </w:r>
    </w:p>
    <w:p>
      <w:pPr>
        <w:pStyle w:val="Normal"/>
        <w:spacing w:lineRule="auto" w:line="240" w:before="0" w:after="0"/>
        <w:jc w:val="both"/>
        <w:rPr>
          <w:rFonts w:ascii="Times New Roman" w:hAnsi="Times New Roman" w:eastAsia="SimSun" w:cs="Times New Roman"/>
          <w:sz w:val="24"/>
          <w:szCs w:val="24"/>
          <w:lang w:val="pt-BR" w:eastAsia="pt-BR"/>
        </w:rPr>
      </w:pPr>
      <w:r>
        <w:fldChar w:fldCharType="begin"/>
      </w:r>
      <w:r>
        <w:rPr>
          <w:sz w:val="24"/>
          <w:szCs w:val="24"/>
          <w:rFonts w:cs="Times New Roman" w:ascii="Times New Roman" w:hAnsi="Times New Roman"/>
          <w:lang w:val="pt-BR" w:eastAsia="pt-PT"/>
        </w:rPr>
        <w:instrText xml:space="preserve">LINK Excel.Sheet.12 "C:\\Users\\Otaln\\OneDrive\\Desktop\\ESTATÍSTICA DE 2025\\ESTATÍSTICA ANUAL\\ESTATÍSTICA ANUAL MINSA.xlsx" CANCELAMENTO!L15C2:L23C5 \a \f 4 \h  \* MERGEFORMAT</w:instrText>
      </w:r>
      <w:r>
        <w:rPr>
          <w:rFonts w:cs="Times New Roman" w:ascii="Times New Roman" w:hAnsi="Times New Roman"/>
          <w:sz w:val="24"/>
          <w:szCs w:val="24"/>
          <w:lang w:val="pt-BR" w:eastAsia="pt-PT"/>
        </w:rPr>
      </w:r>
      <w:r>
        <w:rPr>
          <w:sz w:val="24"/>
          <w:szCs w:val="24"/>
          <w:rFonts w:cs="Times New Roman" w:ascii="Times New Roman" w:hAnsi="Times New Roman"/>
          <w:lang w:val="pt-BR" w:eastAsia="pt-PT"/>
        </w:rPr>
        <w:fldChar w:fldCharType="separate"/>
      </w:r>
      <w:r/>
      <w:r>
        <w:rPr>
          <w:rFonts w:cs="Times New Roman" w:ascii="Times New Roman" w:hAnsi="Times New Roman"/>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
        <w:rPr>
          <w:sz w:val="24"/>
          <w:szCs w:val="24"/>
          <w:rFonts w:cs="Times New Roman" w:ascii="Times New Roman" w:hAnsi="Times New Roman"/>
          <w:lang w:val="pt-BR" w:eastAsia="pt-PT"/>
        </w:rPr>
        <w:fldChar w:fldCharType="end"/>
      </w:r>
      <w:r>
        <w:rPr>
          <w:rFonts w:cs="Times New Roman" w:ascii="Times New Roman" w:hAnsi="Times New Roman"/>
          <w:sz w:val="24"/>
          <w:szCs w:val="24"/>
          <w:lang w:val="pt-BR" w:eastAsia="pt-PT"/>
        </w:rPr>
      </w:r>
    </w:p>
    <w:tbl>
      <w:tblPr>
        <w:tblpPr w:vertAnchor="text" w:horzAnchor="margin" w:leftFromText="141" w:rightFromText="141" w:tblpX="0" w:tblpY="107"/>
        <w:tblW w:w="7175" w:type="dxa"/>
        <w:jc w:val="left"/>
        <w:tblInd w:w="-5" w:type="dxa"/>
        <w:tblLayout w:type="fixed"/>
        <w:tblCellMar>
          <w:top w:w="0" w:type="dxa"/>
          <w:left w:w="70" w:type="dxa"/>
          <w:bottom w:w="0" w:type="dxa"/>
          <w:right w:w="70" w:type="dxa"/>
        </w:tblCellMar>
        <w:tblLook w:val="04a0" w:noHBand="0" w:noVBand="1" w:firstColumn="1" w:lastRow="0" w:lastColumn="0" w:firstRow="1"/>
      </w:tblPr>
      <w:tblGrid>
        <w:gridCol w:w="799"/>
        <w:gridCol w:w="4235"/>
        <w:gridCol w:w="1224"/>
        <w:gridCol w:w="916"/>
      </w:tblGrid>
      <w:tr>
        <w:trPr>
          <w:trHeight w:val="484" w:hRule="atLeast"/>
        </w:trPr>
        <w:tc>
          <w:tcPr>
            <w:tcW w:w="799" w:type="dxa"/>
            <w:tcBorders>
              <w:top w:val="single" w:sz="4" w:space="0" w:color="000000"/>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Nº</w:t>
            </w:r>
          </w:p>
        </w:tc>
        <w:tc>
          <w:tcPr>
            <w:tcW w:w="4235"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Adiadas/Causas</w:t>
            </w:r>
          </w:p>
        </w:tc>
        <w:tc>
          <w:tcPr>
            <w:tcW w:w="1224"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TOTAL</w:t>
            </w:r>
          </w:p>
        </w:tc>
        <w:tc>
          <w:tcPr>
            <w:tcW w:w="916"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w:t>
            </w:r>
          </w:p>
        </w:tc>
      </w:tr>
      <w:tr>
        <w:trPr>
          <w:trHeight w:val="530" w:hRule="atLeast"/>
        </w:trPr>
        <w:tc>
          <w:tcPr>
            <w:tcW w:w="799"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w:t>
            </w:r>
          </w:p>
        </w:tc>
        <w:tc>
          <w:tcPr>
            <w:tcW w:w="4235"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lang w:eastAsia="pt-PT"/>
              </w:rPr>
            </w:pPr>
            <w:r>
              <w:rPr>
                <w:rFonts w:eastAsia="Times New Roman" w:cs="Times New Roman" w:ascii="Times New Roman" w:hAnsi="Times New Roman"/>
                <w:lang w:eastAsia="pt-PT"/>
              </w:rPr>
              <w:t>HTA</w:t>
            </w:r>
          </w:p>
        </w:tc>
        <w:tc>
          <w:tcPr>
            <w:tcW w:w="1224" w:type="dxa"/>
            <w:tcBorders>
              <w:bottom w:val="single" w:sz="4" w:space="0" w:color="000000"/>
              <w:right w:val="single" w:sz="4" w:space="0" w:color="000000"/>
            </w:tcBorders>
            <w:shd w:color="000000" w:fill="DDEBF7"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15</w:t>
            </w:r>
          </w:p>
        </w:tc>
        <w:tc>
          <w:tcPr>
            <w:tcW w:w="91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17</w:t>
            </w:r>
          </w:p>
        </w:tc>
      </w:tr>
      <w:tr>
        <w:trPr>
          <w:trHeight w:val="530" w:hRule="atLeast"/>
        </w:trPr>
        <w:tc>
          <w:tcPr>
            <w:tcW w:w="799"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w:t>
            </w:r>
          </w:p>
        </w:tc>
        <w:tc>
          <w:tcPr>
            <w:tcW w:w="4235"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lang w:eastAsia="pt-PT"/>
              </w:rPr>
            </w:pPr>
            <w:r>
              <w:rPr>
                <w:rFonts w:eastAsia="Times New Roman" w:cs="Times New Roman" w:ascii="Times New Roman" w:hAnsi="Times New Roman"/>
                <w:lang w:eastAsia="pt-PT"/>
              </w:rPr>
              <w:t>Critério Médico</w:t>
            </w:r>
          </w:p>
        </w:tc>
        <w:tc>
          <w:tcPr>
            <w:tcW w:w="1224" w:type="dxa"/>
            <w:tcBorders>
              <w:bottom w:val="single" w:sz="4" w:space="0" w:color="000000"/>
              <w:right w:val="single" w:sz="4" w:space="0" w:color="000000"/>
            </w:tcBorders>
            <w:shd w:color="000000" w:fill="DDEBF7"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24</w:t>
            </w:r>
          </w:p>
        </w:tc>
        <w:tc>
          <w:tcPr>
            <w:tcW w:w="91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28</w:t>
            </w:r>
          </w:p>
        </w:tc>
      </w:tr>
      <w:tr>
        <w:trPr>
          <w:trHeight w:val="530" w:hRule="atLeast"/>
        </w:trPr>
        <w:tc>
          <w:tcPr>
            <w:tcW w:w="799"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3</w:t>
            </w:r>
          </w:p>
        </w:tc>
        <w:tc>
          <w:tcPr>
            <w:tcW w:w="4235"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lang w:eastAsia="pt-PT"/>
              </w:rPr>
            </w:pPr>
            <w:r>
              <w:rPr>
                <w:rFonts w:eastAsia="Times New Roman" w:cs="Times New Roman" w:ascii="Times New Roman" w:hAnsi="Times New Roman"/>
                <w:lang w:eastAsia="pt-PT"/>
              </w:rPr>
              <w:t>Falta de Comparência</w:t>
            </w:r>
          </w:p>
        </w:tc>
        <w:tc>
          <w:tcPr>
            <w:tcW w:w="1224" w:type="dxa"/>
            <w:tcBorders>
              <w:bottom w:val="single" w:sz="4" w:space="0" w:color="000000"/>
              <w:right w:val="single" w:sz="4" w:space="0" w:color="000000"/>
            </w:tcBorders>
            <w:shd w:color="000000" w:fill="DDEBF7"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40</w:t>
            </w:r>
          </w:p>
        </w:tc>
        <w:tc>
          <w:tcPr>
            <w:tcW w:w="91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47</w:t>
            </w:r>
          </w:p>
        </w:tc>
      </w:tr>
      <w:tr>
        <w:trPr>
          <w:trHeight w:val="530" w:hRule="atLeast"/>
        </w:trPr>
        <w:tc>
          <w:tcPr>
            <w:tcW w:w="799"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4</w:t>
            </w:r>
          </w:p>
        </w:tc>
        <w:tc>
          <w:tcPr>
            <w:tcW w:w="4235"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lang w:eastAsia="pt-PT"/>
              </w:rPr>
            </w:pPr>
            <w:r>
              <w:rPr>
                <w:rFonts w:eastAsia="Times New Roman" w:cs="Times New Roman" w:ascii="Times New Roman" w:hAnsi="Times New Roman"/>
                <w:lang w:eastAsia="pt-PT"/>
              </w:rPr>
              <w:t>Motivo Técnico</w:t>
            </w:r>
          </w:p>
        </w:tc>
        <w:tc>
          <w:tcPr>
            <w:tcW w:w="1224" w:type="dxa"/>
            <w:tcBorders>
              <w:bottom w:val="single" w:sz="4" w:space="0" w:color="000000"/>
              <w:right w:val="single" w:sz="4" w:space="0" w:color="000000"/>
            </w:tcBorders>
            <w:shd w:color="000000" w:fill="DDEBF7"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7</w:t>
            </w:r>
          </w:p>
        </w:tc>
        <w:tc>
          <w:tcPr>
            <w:tcW w:w="91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8</w:t>
            </w:r>
          </w:p>
        </w:tc>
      </w:tr>
      <w:tr>
        <w:trPr>
          <w:trHeight w:val="484" w:hRule="atLeast"/>
        </w:trPr>
        <w:tc>
          <w:tcPr>
            <w:tcW w:w="79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 </w:t>
            </w:r>
          </w:p>
        </w:tc>
        <w:tc>
          <w:tcPr>
            <w:tcW w:w="4235"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TOTAL</w:t>
            </w:r>
          </w:p>
        </w:tc>
        <w:tc>
          <w:tcPr>
            <w:tcW w:w="1224"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86</w:t>
            </w:r>
          </w:p>
        </w:tc>
        <w:tc>
          <w:tcPr>
            <w:tcW w:w="916"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100</w:t>
            </w:r>
          </w:p>
        </w:tc>
      </w:tr>
    </w:tbl>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t xml:space="preserve"> </w:t>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cs="Times New Roman"/>
          <w:bCs/>
          <w:sz w:val="24"/>
          <w:szCs w:val="24"/>
          <w:lang w:val="pt-BR"/>
        </w:rPr>
      </w:pPr>
      <w:r>
        <w:rPr>
          <w:rFonts w:eastAsia="Times New Roman" w:cs="Times New Roman" w:ascii="Times New Roman" w:hAnsi="Times New Roman"/>
          <w:b/>
          <w:bCs/>
          <w:sz w:val="24"/>
          <w:szCs w:val="24"/>
          <w:lang w:val="pt-BR" w:eastAsia="pt-PT"/>
        </w:rPr>
        <w:t xml:space="preserve">Gráfico </w:t>
      </w:r>
      <w:r>
        <w:rPr>
          <w:rFonts w:cs="Times New Roman" w:ascii="Times New Roman" w:hAnsi="Times New Roman"/>
          <w:b/>
          <w:sz w:val="24"/>
          <w:szCs w:val="24"/>
          <w:lang w:val="pt-BR"/>
        </w:rPr>
        <w:t xml:space="preserve">nº </w:t>
      </w:r>
      <w:r>
        <w:rPr>
          <w:rFonts w:eastAsia="Times New Roman" w:cs="Times New Roman" w:ascii="Times New Roman" w:hAnsi="Times New Roman"/>
          <w:b/>
          <w:bCs/>
          <w:sz w:val="24"/>
          <w:szCs w:val="24"/>
          <w:lang w:val="pt-BR" w:eastAsia="pt-PT"/>
        </w:rPr>
        <w:t xml:space="preserve">3.1 </w:t>
      </w:r>
      <w:r>
        <w:rPr>
          <w:rFonts w:eastAsia="Times New Roman" w:cs="Times New Roman" w:ascii="Times New Roman" w:hAnsi="Times New Roman"/>
          <w:b/>
          <w:sz w:val="24"/>
          <w:szCs w:val="24"/>
          <w:lang w:val="pt-BR" w:eastAsia="pt-PT"/>
        </w:rPr>
        <w:t xml:space="preserve">Causas de Cancelamento de Cirurgias </w:t>
      </w:r>
      <w:r>
        <w:rPr>
          <w:rFonts w:eastAsia="Times New Roman" w:cs="Times New Roman" w:ascii="Times New Roman" w:hAnsi="Times New Roman"/>
          <w:b/>
          <w:bCs/>
          <w:sz w:val="24"/>
          <w:szCs w:val="24"/>
          <w:lang w:val="pt-BR" w:eastAsia="pt-PT"/>
        </w:rPr>
        <w:t>IONA/ Janeiro 2026</w:t>
      </w:r>
    </w:p>
    <w:p>
      <w:pPr>
        <w:pStyle w:val="Normal"/>
        <w:spacing w:lineRule="auto" w:line="240" w:before="0" w:after="0"/>
        <w:jc w:val="both"/>
        <w:rPr>
          <w:rFonts w:ascii="Times New Roman" w:hAnsi="Times New Roman" w:eastAsia="Times New Roman" w:cs="Times New Roman"/>
          <w:b/>
          <w:color w:val="FF0000"/>
          <w:sz w:val="24"/>
          <w:szCs w:val="24"/>
          <w:lang w:val="pt-BR" w:eastAsia="pt-PT"/>
        </w:rPr>
      </w:pPr>
      <w:r>
        <w:rPr>
          <w:rFonts w:eastAsia="Times New Roman" w:cs="Times New Roman" w:ascii="Times New Roman" w:hAnsi="Times New Roman"/>
          <w:b/>
          <w:color w:val="FF0000"/>
          <w:sz w:val="24"/>
          <w:szCs w:val="24"/>
          <w:lang w:val="pt-BR" w:eastAsia="pt-PT"/>
        </w:rPr>
      </w:r>
    </w:p>
    <w:p>
      <w:pPr>
        <w:pStyle w:val="Normal"/>
        <w:spacing w:lineRule="auto" w:line="240" w:before="0" w:after="0"/>
        <w:jc w:val="both"/>
        <w:rPr>
          <w:rFonts w:ascii="Times New Roman" w:hAnsi="Times New Roman" w:eastAsia="Times New Roman" w:cs="Times New Roman"/>
          <w:b/>
          <w:color w:val="FF0000"/>
          <w:sz w:val="24"/>
          <w:szCs w:val="24"/>
          <w:lang w:val="pt-BR" w:eastAsia="pt-PT"/>
        </w:rPr>
      </w:pPr>
      <w:r>
        <w:rPr>
          <w:rFonts w:eastAsia="Times New Roman" w:cs="Times New Roman" w:ascii="Times New Roman" w:hAnsi="Times New Roman"/>
          <w:b/>
          <w:color w:val="FF0000"/>
          <w:sz w:val="24"/>
          <w:szCs w:val="24"/>
          <w:lang w:val="pt-BR" w:eastAsia="pt-PT"/>
        </w:rPr>
      </w:r>
    </w:p>
    <w:p>
      <w:pPr>
        <w:pStyle w:val="Normal"/>
        <w:spacing w:lineRule="auto" w:line="240" w:before="0" w:after="0"/>
        <w:jc w:val="center"/>
        <w:rPr>
          <w:rFonts w:ascii="Times New Roman" w:hAnsi="Times New Roman" w:eastAsia="Times New Roman" w:cs="Times New Roman"/>
          <w:b/>
          <w:color w:themeColor="text1" w:val="000000"/>
          <w:sz w:val="24"/>
          <w:szCs w:val="24"/>
          <w:lang w:val="pt-BR" w:eastAsia="pt-PT"/>
        </w:rPr>
      </w:pPr>
      <w:r>
        <w:rPr/>
        <w:drawing>
          <wp:inline distT="0" distB="0" distL="0" distR="0">
            <wp:extent cx="4572000" cy="2743200"/>
            <wp:effectExtent l="0" t="0" r="0" b="0"/>
            <wp:docPr id="6" name="Gráfico 10"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t xml:space="preserve">Tabela </w:t>
      </w:r>
      <w:r>
        <w:rPr>
          <w:rFonts w:cs="Times New Roman" w:ascii="Times New Roman" w:hAnsi="Times New Roman"/>
          <w:b/>
          <w:sz w:val="24"/>
          <w:szCs w:val="24"/>
          <w:lang w:val="pt-BR"/>
        </w:rPr>
        <w:t>nº 5</w:t>
      </w:r>
      <w:r>
        <w:rPr>
          <w:rFonts w:eastAsia="Times New Roman" w:cs="Times New Roman" w:ascii="Times New Roman" w:hAnsi="Times New Roman"/>
          <w:b/>
          <w:sz w:val="24"/>
          <w:szCs w:val="24"/>
          <w:lang w:val="pt-BR" w:eastAsia="pt-PT"/>
        </w:rPr>
        <w:t xml:space="preserve">. Exames Complementares realizados IONA/ </w:t>
      </w:r>
      <w:r>
        <w:rPr>
          <w:rFonts w:eastAsia="Times New Roman" w:cs="Times New Roman" w:ascii="Times New Roman" w:hAnsi="Times New Roman"/>
          <w:b/>
          <w:sz w:val="24"/>
          <w:szCs w:val="24"/>
          <w:lang w:eastAsia="pt-PT"/>
        </w:rPr>
        <w:t xml:space="preserve"> Janeiro </w:t>
      </w:r>
      <w:r>
        <w:rPr>
          <w:rFonts w:eastAsia="Times New Roman" w:cs="Times New Roman" w:ascii="Times New Roman" w:hAnsi="Times New Roman"/>
          <w:b/>
          <w:sz w:val="24"/>
          <w:szCs w:val="24"/>
          <w:lang w:val="pt-BR" w:eastAsia="pt-PT"/>
        </w:rPr>
        <w:t>2026</w:t>
      </w:r>
    </w:p>
    <w:p>
      <w:pPr>
        <w:pStyle w:val="Normal"/>
        <w:spacing w:lineRule="auto" w:line="240"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Os exames mais realizados  foram o OCT com 21% (488), seguido pela Retinografia com 19% (448) e a Ecografia  com 18% (424).</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bl>
      <w:tblPr>
        <w:tblW w:w="6313"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3705"/>
        <w:gridCol w:w="1644"/>
        <w:gridCol w:w="964"/>
      </w:tblGrid>
      <w:tr>
        <w:trPr>
          <w:trHeight w:val="377" w:hRule="atLeast"/>
        </w:trPr>
        <w:tc>
          <w:tcPr>
            <w:tcW w:w="3705" w:type="dxa"/>
            <w:tcBorders>
              <w:top w:val="single" w:sz="4" w:space="0" w:color="000000"/>
              <w:left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EXAMES COMPLENTARES</w:t>
            </w:r>
          </w:p>
        </w:tc>
        <w:tc>
          <w:tcPr>
            <w:tcW w:w="1644" w:type="dxa"/>
            <w:tcBorders>
              <w:top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TOTAL</w:t>
            </w:r>
          </w:p>
        </w:tc>
        <w:tc>
          <w:tcPr>
            <w:tcW w:w="964" w:type="dxa"/>
            <w:tcBorders>
              <w:top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w:t>
            </w:r>
          </w:p>
        </w:tc>
      </w:tr>
      <w:tr>
        <w:trPr>
          <w:trHeight w:val="413" w:hRule="atLeast"/>
        </w:trPr>
        <w:tc>
          <w:tcPr>
            <w:tcW w:w="370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Biomicroscopia  Electrónica</w:t>
            </w:r>
          </w:p>
        </w:tc>
        <w:tc>
          <w:tcPr>
            <w:tcW w:w="1644" w:type="dxa"/>
            <w:tcBorders>
              <w:top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337</w:t>
            </w:r>
          </w:p>
        </w:tc>
        <w:tc>
          <w:tcPr>
            <w:tcW w:w="964" w:type="dxa"/>
            <w:tcBorders>
              <w:top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14</w:t>
            </w:r>
          </w:p>
        </w:tc>
      </w:tr>
      <w:tr>
        <w:trPr>
          <w:trHeight w:val="413" w:hRule="atLeast"/>
        </w:trPr>
        <w:tc>
          <w:tcPr>
            <w:tcW w:w="3705"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Biometria</w:t>
            </w:r>
          </w:p>
        </w:tc>
        <w:tc>
          <w:tcPr>
            <w:tcW w:w="1644"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379</w:t>
            </w:r>
          </w:p>
        </w:tc>
        <w:tc>
          <w:tcPr>
            <w:tcW w:w="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16</w:t>
            </w:r>
          </w:p>
        </w:tc>
      </w:tr>
      <w:tr>
        <w:trPr>
          <w:trHeight w:val="413" w:hRule="atLeast"/>
        </w:trPr>
        <w:tc>
          <w:tcPr>
            <w:tcW w:w="3705"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Campimetria</w:t>
            </w:r>
          </w:p>
        </w:tc>
        <w:tc>
          <w:tcPr>
            <w:tcW w:w="1644"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83</w:t>
            </w:r>
          </w:p>
        </w:tc>
        <w:tc>
          <w:tcPr>
            <w:tcW w:w="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4</w:t>
            </w:r>
          </w:p>
        </w:tc>
      </w:tr>
      <w:tr>
        <w:trPr>
          <w:trHeight w:val="413" w:hRule="atLeast"/>
        </w:trPr>
        <w:tc>
          <w:tcPr>
            <w:tcW w:w="3705"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Ecografia</w:t>
            </w:r>
          </w:p>
        </w:tc>
        <w:tc>
          <w:tcPr>
            <w:tcW w:w="1644"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424</w:t>
            </w:r>
          </w:p>
        </w:tc>
        <w:tc>
          <w:tcPr>
            <w:tcW w:w="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18</w:t>
            </w:r>
          </w:p>
        </w:tc>
      </w:tr>
      <w:tr>
        <w:trPr>
          <w:trHeight w:val="413" w:hRule="atLeast"/>
        </w:trPr>
        <w:tc>
          <w:tcPr>
            <w:tcW w:w="3705"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Topografia Corneal</w:t>
            </w:r>
          </w:p>
        </w:tc>
        <w:tc>
          <w:tcPr>
            <w:tcW w:w="1644"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9</w:t>
            </w:r>
          </w:p>
        </w:tc>
        <w:tc>
          <w:tcPr>
            <w:tcW w:w="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0</w:t>
            </w:r>
          </w:p>
        </w:tc>
      </w:tr>
      <w:tr>
        <w:trPr>
          <w:trHeight w:val="413" w:hRule="atLeast"/>
        </w:trPr>
        <w:tc>
          <w:tcPr>
            <w:tcW w:w="3705"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OCT</w:t>
            </w:r>
          </w:p>
        </w:tc>
        <w:tc>
          <w:tcPr>
            <w:tcW w:w="1644"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488</w:t>
            </w:r>
          </w:p>
        </w:tc>
        <w:tc>
          <w:tcPr>
            <w:tcW w:w="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21</w:t>
            </w:r>
          </w:p>
        </w:tc>
      </w:tr>
      <w:tr>
        <w:trPr>
          <w:trHeight w:val="413" w:hRule="atLeast"/>
        </w:trPr>
        <w:tc>
          <w:tcPr>
            <w:tcW w:w="3705"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Gonioscopia</w:t>
            </w:r>
          </w:p>
        </w:tc>
        <w:tc>
          <w:tcPr>
            <w:tcW w:w="1644"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21</w:t>
            </w:r>
          </w:p>
        </w:tc>
        <w:tc>
          <w:tcPr>
            <w:tcW w:w="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w:t>
            </w:r>
          </w:p>
        </w:tc>
      </w:tr>
      <w:tr>
        <w:trPr>
          <w:trHeight w:val="413" w:hRule="atLeast"/>
        </w:trPr>
        <w:tc>
          <w:tcPr>
            <w:tcW w:w="3705"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Paquimetria</w:t>
            </w:r>
          </w:p>
        </w:tc>
        <w:tc>
          <w:tcPr>
            <w:tcW w:w="1644"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38</w:t>
            </w:r>
          </w:p>
        </w:tc>
        <w:tc>
          <w:tcPr>
            <w:tcW w:w="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w:t>
            </w:r>
          </w:p>
        </w:tc>
      </w:tr>
      <w:tr>
        <w:trPr>
          <w:trHeight w:val="413" w:hRule="atLeast"/>
        </w:trPr>
        <w:tc>
          <w:tcPr>
            <w:tcW w:w="3705"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Tonometria</w:t>
            </w:r>
          </w:p>
        </w:tc>
        <w:tc>
          <w:tcPr>
            <w:tcW w:w="1644"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99</w:t>
            </w:r>
          </w:p>
        </w:tc>
        <w:tc>
          <w:tcPr>
            <w:tcW w:w="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4</w:t>
            </w:r>
          </w:p>
        </w:tc>
      </w:tr>
      <w:tr>
        <w:trPr>
          <w:trHeight w:val="413" w:hRule="atLeast"/>
        </w:trPr>
        <w:tc>
          <w:tcPr>
            <w:tcW w:w="3705"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AR-K</w:t>
            </w:r>
          </w:p>
        </w:tc>
        <w:tc>
          <w:tcPr>
            <w:tcW w:w="1644"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w:t>
            </w:r>
          </w:p>
        </w:tc>
        <w:tc>
          <w:tcPr>
            <w:tcW w:w="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0</w:t>
            </w:r>
          </w:p>
        </w:tc>
      </w:tr>
      <w:tr>
        <w:trPr>
          <w:trHeight w:val="413" w:hRule="atLeast"/>
        </w:trPr>
        <w:tc>
          <w:tcPr>
            <w:tcW w:w="3705"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Retinografia</w:t>
            </w:r>
          </w:p>
        </w:tc>
        <w:tc>
          <w:tcPr>
            <w:tcW w:w="1644"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448</w:t>
            </w:r>
          </w:p>
        </w:tc>
        <w:tc>
          <w:tcPr>
            <w:tcW w:w="964"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19</w:t>
            </w:r>
          </w:p>
        </w:tc>
      </w:tr>
      <w:tr>
        <w:trPr>
          <w:trHeight w:val="377" w:hRule="atLeast"/>
        </w:trPr>
        <w:tc>
          <w:tcPr>
            <w:tcW w:w="3705"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Total Geral</w:t>
            </w:r>
          </w:p>
        </w:tc>
        <w:tc>
          <w:tcPr>
            <w:tcW w:w="1644"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2 327</w:t>
            </w:r>
          </w:p>
        </w:tc>
        <w:tc>
          <w:tcPr>
            <w:tcW w:w="964"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100</w:t>
            </w:r>
          </w:p>
        </w:tc>
      </w:tr>
    </w:tbl>
    <w:p>
      <w:pPr>
        <w:pStyle w:val="Normal"/>
        <w:tabs>
          <w:tab w:val="clear" w:pos="708"/>
          <w:tab w:val="left" w:pos="6870" w:leader="none"/>
        </w:tabs>
        <w:jc w:val="both"/>
        <w:rPr>
          <w:rFonts w:ascii="Times New Roman" w:hAnsi="Times New Roman" w:eastAsia="SimSun" w:cs="Times New Roman"/>
          <w:sz w:val="24"/>
          <w:szCs w:val="24"/>
          <w:lang w:val="pt-BR" w:eastAsia="pt-BR"/>
        </w:rPr>
      </w:pPr>
      <w:r>
        <w:fldChar w:fldCharType="begin"/>
      </w:r>
      <w:r>
        <w:rPr>
          <w:sz w:val="24"/>
          <w:szCs w:val="24"/>
          <w:rFonts w:cs="Times New Roman" w:ascii="Times New Roman" w:hAnsi="Times New Roman"/>
        </w:rPr>
        <w:instrText xml:space="preserve">LINK Excel.Sheet.12 "C:\\Users\\Otaln\\OneDrive\\Desktop\\ESTATÍSTICA DE 2025\\ESTATÍSTICA ANUAL\\ESTATÍSTICA ANUAL MINSA.xlsx" EX.ESPECIAIS!L33C18:L51C19 \a \f 4 \h  \* MERGEFORMAT</w:instrText>
      </w:r>
      <w:r>
        <w:rPr>
          <w:rFonts w:cs="Times New Roman" w:ascii="Times New Roman" w:hAnsi="Times New Roman"/>
          <w:sz w:val="24"/>
          <w:szCs w:val="24"/>
        </w:rPr>
      </w:r>
      <w:r>
        <w:rPr>
          <w:sz w:val="24"/>
          <w:szCs w:val="24"/>
          <w:rFonts w:cs="Times New Roman" w:ascii="Times New Roman" w:hAnsi="Times New Roman"/>
        </w:rPr>
        <w:fldChar w:fldCharType="separate"/>
      </w:r>
      <w:r/>
      <w:r>
        <w:rPr>
          <w:rFonts w:cs="Times New Roman" w:ascii="Times New Roman" w:hAnsi="Times New Roman"/>
          <w:sz w:val="24"/>
          <w:szCs w:val="24"/>
        </w:rPr>
      </w:r>
    </w:p>
    <w:p>
      <w:pPr>
        <w:pStyle w:val="Normal"/>
        <w:tabs>
          <w:tab w:val="clear" w:pos="708"/>
          <w:tab w:val="left" w:pos="6870" w:leader="none"/>
        </w:tabs>
        <w:jc w:val="both"/>
        <w:rPr>
          <w:rFonts w:ascii="Times New Roman" w:hAnsi="Times New Roman" w:eastAsia="Times New Roman" w:cs="Times New Roman"/>
          <w:b/>
          <w:color w:themeColor="text1" w:val="000000"/>
          <w:sz w:val="24"/>
          <w:szCs w:val="24"/>
          <w:lang w:val="pt-BR" w:eastAsia="pt-PT"/>
        </w:rPr>
      </w:pPr>
      <w:r>
        <w:rPr>
          <w:rFonts w:cs="Times New Roman" w:ascii="Times New Roman" w:hAnsi="Times New Roman"/>
          <w:sz w:val="24"/>
          <w:szCs w:val="24"/>
        </w:rPr>
      </w:r>
      <w:r>
        <w:rPr>
          <w:sz w:val="24"/>
          <w:szCs w:val="24"/>
          <w:rFonts w:cs="Times New Roman" w:ascii="Times New Roman" w:hAnsi="Times New Roman"/>
        </w:rPr>
        <w:fldChar w:fldCharType="end"/>
      </w:r>
      <w:r>
        <w:rPr>
          <w:rFonts w:eastAsia="Times New Roman" w:cs="Times New Roman" w:ascii="Times New Roman" w:hAnsi="Times New Roman"/>
          <w:b/>
          <w:bCs/>
          <w:sz w:val="24"/>
          <w:szCs w:val="24"/>
          <w:lang w:val="pt-BR" w:eastAsia="pt-PT"/>
        </w:rPr>
        <w:t xml:space="preserve"> </w:t>
      </w:r>
      <w:r>
        <w:rPr>
          <w:rFonts w:cs="Times New Roman" w:ascii="Times New Roman" w:hAnsi="Times New Roman"/>
          <w:b/>
          <w:sz w:val="24"/>
          <w:szCs w:val="24"/>
        </w:rPr>
        <w:t xml:space="preserve">Gráfico 4. </w:t>
      </w:r>
      <w:r>
        <w:rPr>
          <w:rFonts w:eastAsia="Times New Roman" w:cs="Times New Roman" w:ascii="Times New Roman" w:hAnsi="Times New Roman"/>
          <w:b/>
          <w:sz w:val="24"/>
          <w:szCs w:val="24"/>
          <w:lang w:val="pt-BR" w:eastAsia="pt-PT"/>
        </w:rPr>
        <w:t xml:space="preserve">Exames Complementares realizados </w:t>
      </w:r>
      <w:r>
        <w:rPr>
          <w:rFonts w:eastAsia="Times New Roman" w:cs="Times New Roman" w:ascii="Times New Roman" w:hAnsi="Times New Roman"/>
          <w:b/>
          <w:bCs/>
          <w:sz w:val="24"/>
          <w:szCs w:val="24"/>
          <w:lang w:val="pt-BR" w:eastAsia="pt-PT"/>
        </w:rPr>
        <w:t xml:space="preserve">IONA/ </w:t>
      </w:r>
      <w:r>
        <w:rPr>
          <w:rFonts w:eastAsia="Times New Roman" w:cs="Times New Roman" w:ascii="Times New Roman" w:hAnsi="Times New Roman"/>
          <w:b/>
          <w:sz w:val="24"/>
          <w:szCs w:val="24"/>
          <w:lang w:eastAsia="pt-PT"/>
        </w:rPr>
        <w:t>Janeiro</w:t>
      </w:r>
      <w:r>
        <w:rPr>
          <w:rFonts w:eastAsia="Times New Roman" w:cs="Times New Roman" w:ascii="Times New Roman" w:hAnsi="Times New Roman"/>
          <w:b/>
          <w:bCs/>
          <w:sz w:val="24"/>
          <w:szCs w:val="24"/>
          <w:lang w:val="pt-BR" w:eastAsia="pt-PT"/>
        </w:rPr>
        <w:t xml:space="preserve"> 2026</w:t>
      </w:r>
      <w:r>
        <w:rPr>
          <w:rFonts w:eastAsia="Times New Roman" w:cs="Times New Roman" w:ascii="Times New Roman" w:hAnsi="Times New Roman"/>
          <w:b/>
          <w:color w:themeColor="text1" w:val="000000"/>
          <w:sz w:val="24"/>
          <w:szCs w:val="24"/>
          <w:lang w:val="pt-BR" w:eastAsia="pt-PT"/>
        </w:rPr>
        <w:t xml:space="preserve"> </w:t>
      </w:r>
    </w:p>
    <w:p>
      <w:pPr>
        <w:pStyle w:val="Normal"/>
        <w:spacing w:before="0" w:after="0"/>
        <w:jc w:val="both"/>
        <w:rPr>
          <w:rFonts w:ascii="Times New Roman" w:hAnsi="Times New Roman" w:eastAsia="Times New Roman" w:cs="Times New Roman"/>
          <w:b/>
          <w:bCs/>
          <w:color w:val="FF0000"/>
          <w:sz w:val="24"/>
          <w:szCs w:val="24"/>
          <w:lang w:val="pt-BR" w:eastAsia="pt-PT"/>
        </w:rPr>
      </w:pPr>
      <w:r>
        <w:rPr>
          <w:rFonts w:eastAsia="Times New Roman" w:cs="Times New Roman" w:ascii="Times New Roman" w:hAnsi="Times New Roman"/>
          <w:b/>
          <w:bCs/>
          <w:color w:val="FF0000"/>
          <w:sz w:val="24"/>
          <w:szCs w:val="24"/>
          <w:lang w:val="pt-BR" w:eastAsia="pt-PT"/>
        </w:rPr>
      </w:r>
    </w:p>
    <w:p>
      <w:pPr>
        <w:pStyle w:val="Normal"/>
        <w:spacing w:before="240" w:after="200"/>
        <w:jc w:val="center"/>
        <w:rPr>
          <w:rFonts w:ascii="Times New Roman" w:hAnsi="Times New Roman" w:cs="Times New Roman"/>
          <w:b/>
          <w:sz w:val="24"/>
          <w:szCs w:val="24"/>
          <w:u w:val="single"/>
          <w:lang w:val="pt-BR"/>
        </w:rPr>
      </w:pPr>
      <w:r>
        <w:rPr/>
        <w:drawing>
          <wp:inline distT="0" distB="0" distL="0" distR="0">
            <wp:extent cx="4781550" cy="2924175"/>
            <wp:effectExtent l="0" t="0" r="0" b="0"/>
            <wp:docPr id="7" name="Gráfico 12"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pPr>
        <w:pStyle w:val="Normal"/>
        <w:spacing w:before="240" w:after="200"/>
        <w:rPr>
          <w:rFonts w:ascii="Times New Roman" w:hAnsi="Times New Roman" w:cs="Times New Roman"/>
          <w:b/>
          <w:sz w:val="24"/>
          <w:szCs w:val="24"/>
          <w:u w:val="single"/>
          <w:lang w:val="pt-BR"/>
        </w:rPr>
      </w:pPr>
      <w:r>
        <w:rPr>
          <w:rFonts w:cs="Times New Roman" w:ascii="Times New Roman" w:hAnsi="Times New Roman"/>
          <w:b/>
          <w:sz w:val="24"/>
          <w:szCs w:val="24"/>
          <w:u w:val="single"/>
          <w:lang w:val="pt-BR"/>
        </w:rPr>
      </w:r>
    </w:p>
    <w:p>
      <w:pPr>
        <w:pStyle w:val="Normal"/>
        <w:spacing w:before="240" w:after="200"/>
        <w:rPr>
          <w:rFonts w:ascii="Times New Roman" w:hAnsi="Times New Roman" w:cs="Times New Roman"/>
          <w:b/>
          <w:sz w:val="24"/>
          <w:szCs w:val="24"/>
          <w:u w:val="single"/>
          <w:lang w:val="pt-BR"/>
        </w:rPr>
      </w:pPr>
      <w:r>
        <w:rPr>
          <w:rFonts w:cs="Times New Roman" w:ascii="Times New Roman" w:hAnsi="Times New Roman"/>
          <w:b/>
          <w:sz w:val="24"/>
          <w:szCs w:val="24"/>
          <w:u w:val="single"/>
          <w:lang w:val="pt-BR"/>
        </w:rPr>
        <w:t>Equipamentos e Meios de Diagnósticos</w:t>
      </w:r>
    </w:p>
    <w:p>
      <w:pPr>
        <w:pStyle w:val="Normal"/>
        <w:spacing w:before="240" w:after="200"/>
        <w:rPr>
          <w:rFonts w:ascii="Times New Roman" w:hAnsi="Times New Roman" w:cs="Times New Roman"/>
          <w:b/>
          <w:sz w:val="24"/>
          <w:szCs w:val="24"/>
          <w:u w:val="single"/>
          <w:lang w:val="pt-BR"/>
        </w:rPr>
      </w:pPr>
      <w:r>
        <w:rPr>
          <w:rFonts w:eastAsia="Times New Roman" w:cs="Times New Roman" w:ascii="Times New Roman" w:hAnsi="Times New Roman"/>
          <w:b/>
          <w:bCs/>
          <w:sz w:val="24"/>
          <w:szCs w:val="24"/>
          <w:lang w:val="pt-BR" w:eastAsia="pt-PT"/>
        </w:rPr>
        <w:t xml:space="preserve">Tabela </w:t>
      </w:r>
      <w:r>
        <w:rPr>
          <w:rFonts w:cs="Times New Roman" w:ascii="Times New Roman" w:hAnsi="Times New Roman"/>
          <w:b/>
          <w:sz w:val="24"/>
          <w:szCs w:val="24"/>
          <w:lang w:val="pt-BR"/>
        </w:rPr>
        <w:t xml:space="preserve">nº </w:t>
      </w:r>
      <w:r>
        <w:rPr>
          <w:rFonts w:eastAsia="Times New Roman" w:cs="Times New Roman" w:ascii="Times New Roman" w:hAnsi="Times New Roman"/>
          <w:b/>
          <w:bCs/>
          <w:sz w:val="24"/>
          <w:szCs w:val="24"/>
          <w:lang w:val="pt-BR" w:eastAsia="pt-PT"/>
        </w:rPr>
        <w:t xml:space="preserve">6. </w:t>
      </w:r>
      <w:r>
        <w:rPr>
          <w:rFonts w:eastAsia="Times New Roman" w:cs="Times New Roman" w:ascii="Times New Roman" w:hAnsi="Times New Roman"/>
          <w:b/>
          <w:sz w:val="24"/>
          <w:szCs w:val="24"/>
          <w:lang w:val="pt-BR" w:eastAsia="pt-PT"/>
        </w:rPr>
        <w:t xml:space="preserve">Exames de laboratório realizados </w:t>
      </w:r>
      <w:r>
        <w:rPr>
          <w:rFonts w:eastAsia="Times New Roman" w:cs="Times New Roman" w:ascii="Times New Roman" w:hAnsi="Times New Roman"/>
          <w:b/>
          <w:bCs/>
          <w:sz w:val="24"/>
          <w:szCs w:val="24"/>
          <w:lang w:val="pt-BR" w:eastAsia="pt-PT"/>
        </w:rPr>
        <w:t>IONA/ Janeiro 2026</w:t>
      </w:r>
    </w:p>
    <w:p>
      <w:pPr>
        <w:pStyle w:val="Normal"/>
        <w:tabs>
          <w:tab w:val="clear" w:pos="708"/>
          <w:tab w:val="left" w:pos="1027" w:leader="none"/>
        </w:tabs>
        <w:spacing w:before="0" w:after="0"/>
        <w:rPr>
          <w:rFonts w:ascii="Times New Roman" w:hAnsi="Times New Roman" w:cs="Times New Roman"/>
          <w:sz w:val="24"/>
          <w:szCs w:val="24"/>
        </w:rPr>
      </w:pPr>
      <w:r>
        <w:rPr>
          <w:rFonts w:cs="Times New Roman" w:ascii="Times New Roman" w:hAnsi="Times New Roman"/>
          <w:sz w:val="24"/>
          <w:szCs w:val="24"/>
        </w:rPr>
        <w:t>Foram realizados um total de 6 388 exames, com predominância para a VS com 24% (1 521), seguido pela Glicemia com 16% (1 015) respectivamente.</w:t>
      </w:r>
    </w:p>
    <w:p>
      <w:pPr>
        <w:pStyle w:val="Normal"/>
        <w:tabs>
          <w:tab w:val="clear" w:pos="708"/>
          <w:tab w:val="left" w:pos="1027" w:leader="none"/>
        </w:tabs>
        <w:spacing w:before="0" w:after="0"/>
        <w:rPr>
          <w:rFonts w:ascii="Times New Roman" w:hAnsi="Times New Roman" w:cs="Times New Roman"/>
          <w:color w:val="FF0000"/>
          <w:sz w:val="24"/>
          <w:szCs w:val="24"/>
        </w:rPr>
      </w:pPr>
      <w:r>
        <w:rPr>
          <w:rFonts w:cs="Times New Roman" w:ascii="Times New Roman" w:hAnsi="Times New Roman"/>
          <w:color w:val="FF0000"/>
          <w:sz w:val="24"/>
          <w:szCs w:val="24"/>
        </w:rPr>
      </w:r>
    </w:p>
    <w:tbl>
      <w:tblPr>
        <w:tblW w:w="6482" w:type="dxa"/>
        <w:jc w:val="left"/>
        <w:tblInd w:w="-5" w:type="dxa"/>
        <w:tblLayout w:type="fixed"/>
        <w:tblCellMar>
          <w:top w:w="0" w:type="dxa"/>
          <w:left w:w="70" w:type="dxa"/>
          <w:bottom w:w="0" w:type="dxa"/>
          <w:right w:w="70" w:type="dxa"/>
        </w:tblCellMar>
        <w:tblLook w:val="04a0" w:noHBand="0" w:noVBand="1" w:firstColumn="1" w:lastRow="0" w:lastColumn="0" w:firstRow="1"/>
      </w:tblPr>
      <w:tblGrid>
        <w:gridCol w:w="3889"/>
        <w:gridCol w:w="1297"/>
        <w:gridCol w:w="1296"/>
      </w:tblGrid>
      <w:tr>
        <w:trPr>
          <w:trHeight w:val="308" w:hRule="atLeast"/>
        </w:trPr>
        <w:tc>
          <w:tcPr>
            <w:tcW w:w="3889" w:type="dxa"/>
            <w:tcBorders>
              <w:top w:val="single" w:sz="4" w:space="0" w:color="000000"/>
              <w:left w:val="single" w:sz="4" w:space="0" w:color="000000"/>
              <w:bottom w:val="single" w:sz="4" w:space="0" w:color="000000"/>
              <w:right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Tipo de Exames</w:t>
            </w:r>
          </w:p>
        </w:tc>
        <w:tc>
          <w:tcPr>
            <w:tcW w:w="1297" w:type="dxa"/>
            <w:tcBorders>
              <w:top w:val="single" w:sz="4" w:space="0" w:color="000000"/>
              <w:bottom w:val="single" w:sz="4" w:space="0" w:color="000000"/>
              <w:right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Total</w:t>
            </w:r>
          </w:p>
        </w:tc>
        <w:tc>
          <w:tcPr>
            <w:tcW w:w="1296" w:type="dxa"/>
            <w:tcBorders>
              <w:top w:val="single" w:sz="4" w:space="0" w:color="000000"/>
              <w:bottom w:val="single" w:sz="4" w:space="0" w:color="000000"/>
              <w:right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Ácido Úrico</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17</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Creatinina</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157</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2</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Colesterol</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29</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HBS Ag</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7</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Hemograma</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949</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15</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HIV</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955</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15</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VS</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1 521</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24</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Dengue</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17</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T.Hemorragia  e TC</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492</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8</w:t>
            </w:r>
          </w:p>
        </w:tc>
      </w:tr>
      <w:tr>
        <w:trPr>
          <w:trHeight w:val="355" w:hRule="atLeast"/>
        </w:trPr>
        <w:tc>
          <w:tcPr>
            <w:tcW w:w="3889"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Glicemia</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1 015</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16</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Triglicéridos</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25</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WIDAL</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3</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HBA1C</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17</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LDL</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24</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HDL</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24</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TGO</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26</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HCV</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13</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TGP</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7</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H.PYLORI</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6</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Pesquisa de Plasmódio (G.E)</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919</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14</w:t>
            </w:r>
          </w:p>
        </w:tc>
      </w:tr>
      <w:tr>
        <w:trPr>
          <w:trHeight w:val="355" w:hRule="atLeast"/>
        </w:trPr>
        <w:tc>
          <w:tcPr>
            <w:tcW w:w="3889"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Ureia</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156</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2</w:t>
            </w:r>
          </w:p>
        </w:tc>
      </w:tr>
      <w:tr>
        <w:trPr>
          <w:trHeight w:val="355" w:hRule="atLeast"/>
        </w:trPr>
        <w:tc>
          <w:tcPr>
            <w:tcW w:w="3889"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VDRL</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7</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TORCH</w:t>
            </w:r>
          </w:p>
        </w:tc>
        <w:tc>
          <w:tcPr>
            <w:tcW w:w="1297"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2</w:t>
            </w:r>
          </w:p>
        </w:tc>
        <w:tc>
          <w:tcPr>
            <w:tcW w:w="1296"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0</w:t>
            </w:r>
          </w:p>
        </w:tc>
      </w:tr>
      <w:tr>
        <w:trPr>
          <w:trHeight w:val="355" w:hRule="atLeast"/>
        </w:trPr>
        <w:tc>
          <w:tcPr>
            <w:tcW w:w="388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Total Geral</w:t>
            </w:r>
          </w:p>
        </w:tc>
        <w:tc>
          <w:tcPr>
            <w:tcW w:w="1297"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6388</w:t>
            </w:r>
          </w:p>
        </w:tc>
        <w:tc>
          <w:tcPr>
            <w:tcW w:w="1296"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100</w:t>
            </w:r>
          </w:p>
        </w:tc>
      </w:tr>
      <w:tr>
        <w:trPr>
          <w:trHeight w:val="355" w:hRule="atLeast"/>
        </w:trPr>
        <w:tc>
          <w:tcPr>
            <w:tcW w:w="3889" w:type="dxa"/>
            <w:tcBorders/>
            <w:shd w:color="000000" w:fill="FFFFFF" w:val="clear"/>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t> </w:t>
            </w:r>
          </w:p>
        </w:tc>
        <w:tc>
          <w:tcPr>
            <w:tcW w:w="1297" w:type="dxa"/>
            <w:tcBorders/>
            <w:vAlign w:val="bottom"/>
          </w:tcPr>
          <w:p>
            <w:pPr>
              <w:pStyle w:val="Normal"/>
              <w:spacing w:lineRule="auto" w:line="240" w:before="0" w:after="0"/>
              <w:rPr>
                <w:rFonts w:ascii="Times New Roman" w:hAnsi="Times New Roman" w:eastAsia="Times New Roman" w:cs="Times New Roman"/>
                <w:color w:val="000000"/>
                <w:sz w:val="24"/>
                <w:szCs w:val="24"/>
                <w:lang w:eastAsia="pt-PT"/>
              </w:rPr>
            </w:pPr>
            <w:r>
              <w:rPr>
                <w:rFonts w:eastAsia="Times New Roman" w:cs="Times New Roman" w:ascii="Times New Roman" w:hAnsi="Times New Roman"/>
                <w:color w:val="000000"/>
                <w:sz w:val="24"/>
                <w:szCs w:val="24"/>
                <w:lang w:eastAsia="pt-PT"/>
              </w:rPr>
            </w:r>
          </w:p>
        </w:tc>
        <w:tc>
          <w:tcPr>
            <w:tcW w:w="1296" w:type="dxa"/>
            <w:tcBorders/>
            <w:vAlign w:val="bottom"/>
          </w:tcPr>
          <w:p>
            <w:pPr>
              <w:pStyle w:val="Normal"/>
              <w:spacing w:lineRule="auto" w:line="240" w:before="0" w:after="0"/>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tc>
      </w:tr>
      <w:tr>
        <w:trPr>
          <w:trHeight w:val="355" w:hRule="atLeast"/>
        </w:trPr>
        <w:tc>
          <w:tcPr>
            <w:tcW w:w="3889" w:type="dxa"/>
            <w:tcBorders/>
            <w:shd w:color="000000" w:fill="FFFFFF" w:val="clear"/>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r>
          </w:p>
        </w:tc>
        <w:tc>
          <w:tcPr>
            <w:tcW w:w="1297" w:type="dxa"/>
            <w:tcBorders/>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r>
          </w:p>
        </w:tc>
        <w:tc>
          <w:tcPr>
            <w:tcW w:w="1296" w:type="dxa"/>
            <w:tcBorders/>
            <w:vAlign w:val="bottom"/>
          </w:tcPr>
          <w:p>
            <w:pPr>
              <w:pStyle w:val="Normal"/>
              <w:spacing w:lineRule="auto" w:line="240" w:before="0" w:after="0"/>
              <w:rPr>
                <w:rFonts w:ascii="Times New Roman" w:hAnsi="Times New Roman" w:eastAsia="Times New Roman" w:cs="Times New Roman"/>
                <w:lang w:eastAsia="pt-PT"/>
              </w:rPr>
            </w:pPr>
            <w:r>
              <w:rPr>
                <w:rFonts w:eastAsia="Times New Roman" w:cs="Times New Roman" w:ascii="Times New Roman" w:hAnsi="Times New Roman"/>
                <w:lang w:eastAsia="pt-PT"/>
              </w:rPr>
            </w:r>
          </w:p>
        </w:tc>
      </w:tr>
      <w:tr>
        <w:trPr>
          <w:trHeight w:val="324" w:hRule="atLeast"/>
        </w:trPr>
        <w:tc>
          <w:tcPr>
            <w:tcW w:w="3889" w:type="dxa"/>
            <w:tcBorders>
              <w:top w:val="single" w:sz="4" w:space="0" w:color="000000"/>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sz w:val="24"/>
                <w:szCs w:val="24"/>
                <w:lang w:eastAsia="pt-PT"/>
              </w:rPr>
            </w:pPr>
            <w:r>
              <w:rPr>
                <w:rFonts w:eastAsia="Times New Roman" w:cs="Times New Roman" w:ascii="Times New Roman" w:hAnsi="Times New Roman"/>
                <w:b/>
                <w:bCs/>
                <w:sz w:val="24"/>
                <w:szCs w:val="24"/>
                <w:lang w:eastAsia="pt-PT"/>
              </w:rPr>
              <w:t>POSITIVOS</w:t>
            </w:r>
          </w:p>
        </w:tc>
        <w:tc>
          <w:tcPr>
            <w:tcW w:w="1297"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TOTAL</w:t>
            </w:r>
          </w:p>
        </w:tc>
        <w:tc>
          <w:tcPr>
            <w:tcW w:w="1296" w:type="dxa"/>
            <w:tcBorders/>
            <w:vAlign w:val="bottom"/>
          </w:tcPr>
          <w:p>
            <w:pPr>
              <w:pStyle w:val="Normal"/>
              <w:spacing w:lineRule="auto" w:line="240" w:before="0" w:after="0"/>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tc>
      </w:tr>
      <w:tr>
        <w:trPr>
          <w:trHeight w:val="324" w:hRule="atLeast"/>
        </w:trPr>
        <w:tc>
          <w:tcPr>
            <w:tcW w:w="388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bCs/>
                <w:sz w:val="24"/>
                <w:szCs w:val="24"/>
                <w:lang w:eastAsia="pt-PT"/>
              </w:rPr>
            </w:pPr>
            <w:r>
              <w:rPr>
                <w:rFonts w:eastAsia="Times New Roman" w:cs="Times New Roman" w:ascii="Times New Roman" w:hAnsi="Times New Roman"/>
                <w:b/>
                <w:bCs/>
                <w:sz w:val="24"/>
                <w:szCs w:val="24"/>
                <w:lang w:eastAsia="pt-PT"/>
              </w:rPr>
              <w:t xml:space="preserve">HIV </w:t>
            </w:r>
          </w:p>
        </w:tc>
        <w:tc>
          <w:tcPr>
            <w:tcW w:w="1297"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19</w:t>
            </w:r>
          </w:p>
        </w:tc>
        <w:tc>
          <w:tcPr>
            <w:tcW w:w="1296" w:type="dxa"/>
            <w:tcBorders/>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tc>
      </w:tr>
      <w:tr>
        <w:trPr>
          <w:trHeight w:val="324" w:hRule="atLeast"/>
        </w:trPr>
        <w:tc>
          <w:tcPr>
            <w:tcW w:w="388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bCs/>
                <w:sz w:val="24"/>
                <w:szCs w:val="24"/>
                <w:lang w:eastAsia="pt-PT"/>
              </w:rPr>
            </w:pPr>
            <w:r>
              <w:rPr>
                <w:rFonts w:eastAsia="Times New Roman" w:cs="Times New Roman" w:ascii="Times New Roman" w:hAnsi="Times New Roman"/>
                <w:b/>
                <w:bCs/>
                <w:sz w:val="24"/>
                <w:szCs w:val="24"/>
                <w:lang w:eastAsia="pt-PT"/>
              </w:rPr>
              <w:t>HBS</w:t>
            </w:r>
          </w:p>
        </w:tc>
        <w:tc>
          <w:tcPr>
            <w:tcW w:w="1297"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3</w:t>
            </w:r>
          </w:p>
        </w:tc>
        <w:tc>
          <w:tcPr>
            <w:tcW w:w="1296" w:type="dxa"/>
            <w:tcBorders/>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tc>
      </w:tr>
      <w:tr>
        <w:trPr>
          <w:trHeight w:val="324" w:hRule="atLeast"/>
        </w:trPr>
        <w:tc>
          <w:tcPr>
            <w:tcW w:w="388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bCs/>
                <w:sz w:val="24"/>
                <w:szCs w:val="24"/>
                <w:lang w:eastAsia="pt-PT"/>
              </w:rPr>
            </w:pPr>
            <w:r>
              <w:rPr>
                <w:rFonts w:eastAsia="Times New Roman" w:cs="Times New Roman" w:ascii="Times New Roman" w:hAnsi="Times New Roman"/>
                <w:b/>
                <w:bCs/>
                <w:sz w:val="24"/>
                <w:szCs w:val="24"/>
                <w:lang w:eastAsia="pt-PT"/>
              </w:rPr>
              <w:t>Dengue</w:t>
            </w:r>
          </w:p>
        </w:tc>
        <w:tc>
          <w:tcPr>
            <w:tcW w:w="1297"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6</w:t>
            </w:r>
          </w:p>
        </w:tc>
        <w:tc>
          <w:tcPr>
            <w:tcW w:w="1296" w:type="dxa"/>
            <w:tcBorders/>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tc>
      </w:tr>
      <w:tr>
        <w:trPr>
          <w:trHeight w:val="324" w:hRule="atLeast"/>
        </w:trPr>
        <w:tc>
          <w:tcPr>
            <w:tcW w:w="3889"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bCs/>
                <w:sz w:val="24"/>
                <w:szCs w:val="24"/>
                <w:lang w:eastAsia="pt-PT"/>
              </w:rPr>
            </w:pPr>
            <w:r>
              <w:rPr>
                <w:rFonts w:eastAsia="Times New Roman" w:cs="Times New Roman" w:ascii="Times New Roman" w:hAnsi="Times New Roman"/>
                <w:b/>
                <w:bCs/>
                <w:sz w:val="24"/>
                <w:szCs w:val="24"/>
                <w:lang w:eastAsia="pt-PT"/>
              </w:rPr>
              <w:t xml:space="preserve">Malária </w:t>
            </w:r>
          </w:p>
        </w:tc>
        <w:tc>
          <w:tcPr>
            <w:tcW w:w="1297"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t>20</w:t>
            </w:r>
          </w:p>
        </w:tc>
        <w:tc>
          <w:tcPr>
            <w:tcW w:w="1296" w:type="dxa"/>
            <w:tcBorders/>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pt-PT"/>
              </w:rPr>
            </w:pPr>
            <w:r>
              <w:rPr>
                <w:rFonts w:eastAsia="Times New Roman" w:cs="Times New Roman" w:ascii="Times New Roman" w:hAnsi="Times New Roman"/>
                <w:b/>
                <w:bCs/>
                <w:color w:val="000000"/>
                <w:sz w:val="24"/>
                <w:szCs w:val="24"/>
                <w:lang w:eastAsia="pt-PT"/>
              </w:rPr>
            </w:r>
          </w:p>
        </w:tc>
      </w:tr>
    </w:tbl>
    <w:p>
      <w:pPr>
        <w:pStyle w:val="Normal"/>
        <w:tabs>
          <w:tab w:val="clear" w:pos="708"/>
          <w:tab w:val="left" w:pos="1027" w:leader="none"/>
        </w:tabs>
        <w:spacing w:lineRule="auto" w:line="240" w:before="0" w:after="0"/>
        <w:rPr>
          <w:rFonts w:ascii="Times New Roman" w:hAnsi="Times New Roman" w:eastAsia="SimSun" w:cs="Times New Roman"/>
          <w:sz w:val="24"/>
          <w:szCs w:val="24"/>
          <w:lang w:val="pt-BR" w:eastAsia="pt-BR"/>
        </w:rPr>
      </w:pPr>
      <w:r>
        <w:fldChar w:fldCharType="begin"/>
      </w:r>
      <w:r>
        <w:rPr>
          <w:sz w:val="24"/>
          <w:szCs w:val="24"/>
          <w:rFonts w:cs="Times New Roman" w:ascii="Times New Roman" w:hAnsi="Times New Roman"/>
          <w:lang w:val="pt-BR" w:eastAsia="pt-PT"/>
        </w:rPr>
        <w:instrText xml:space="preserve">LINK Excel.Sheet.12 "C:\\Users\\Otaln\\OneDrive\\Desktop\\ESTATÍSTICA DE 2025\\ESTATÍSTICA ANUAL\\ESTATÍSTICA ANUAL MINSA.xlsx" EX.LABORATORIAIS!L47C2:L89C4 \a \f 4 \h  \* MERGEFORMAT</w:instrText>
      </w:r>
      <w:r>
        <w:rPr>
          <w:rFonts w:cs="Times New Roman" w:ascii="Times New Roman" w:hAnsi="Times New Roman"/>
          <w:sz w:val="24"/>
          <w:szCs w:val="24"/>
          <w:lang w:val="pt-BR" w:eastAsia="pt-PT"/>
        </w:rPr>
      </w:r>
      <w:r>
        <w:rPr>
          <w:sz w:val="24"/>
          <w:szCs w:val="24"/>
          <w:rFonts w:cs="Times New Roman" w:ascii="Times New Roman" w:hAnsi="Times New Roman"/>
          <w:lang w:val="pt-BR" w:eastAsia="pt-PT"/>
        </w:rPr>
        <w:fldChar w:fldCharType="separate"/>
      </w:r>
      <w:r/>
      <w:r>
        <w:rPr>
          <w:rFonts w:cs="Times New Roman" w:ascii="Times New Roman" w:hAnsi="Times New Roman"/>
          <w:sz w:val="24"/>
          <w:szCs w:val="24"/>
          <w:lang w:val="pt-BR" w:eastAsia="pt-PT"/>
        </w:rPr>
      </w:r>
    </w:p>
    <w:p>
      <w:pPr>
        <w:pStyle w:val="Normal"/>
        <w:tabs>
          <w:tab w:val="clear" w:pos="708"/>
          <w:tab w:val="left" w:pos="1027" w:leader="none"/>
        </w:tabs>
        <w:spacing w:lineRule="auto" w:line="240" w:before="0" w:after="0"/>
        <w:rPr>
          <w:rFonts w:ascii="Times New Roman" w:hAnsi="Times New Roman" w:eastAsia="Calibri" w:cs="Times New Roman"/>
          <w:b/>
          <w:sz w:val="24"/>
          <w:szCs w:val="24"/>
          <w:lang w:val="pt-BR" w:eastAsia="pt-PT"/>
        </w:rPr>
      </w:pPr>
      <w:r/>
      <w:r>
        <w:rPr>
          <w:sz w:val="24"/>
          <w:szCs w:val="24"/>
          <w:rFonts w:cs="Times New Roman" w:ascii="Times New Roman" w:hAnsi="Times New Roman"/>
          <w:lang w:val="pt-BR" w:eastAsia="pt-PT"/>
        </w:rPr>
        <w:fldChar w:fldCharType="end"/>
      </w:r>
      <w:r>
        <w:rPr>
          <w:rFonts w:cs="Times New Roman" w:ascii="Times New Roman" w:hAnsi="Times New Roman"/>
          <w:sz w:val="24"/>
          <w:szCs w:val="24"/>
          <w:lang w:val="pt-BR" w:eastAsia="pt-PT"/>
        </w:rPr>
      </w:r>
    </w:p>
    <w:p>
      <w:pPr>
        <w:pStyle w:val="Normal"/>
        <w:tabs>
          <w:tab w:val="clear" w:pos="708"/>
          <w:tab w:val="left" w:pos="1027" w:leader="none"/>
        </w:tabs>
        <w:spacing w:lineRule="auto" w:line="240" w:before="0" w:after="0"/>
        <w:rPr>
          <w:rFonts w:ascii="Times New Roman" w:hAnsi="Times New Roman" w:eastAsia="Times New Roman" w:cs="Times New Roman"/>
          <w:b/>
          <w:sz w:val="24"/>
          <w:szCs w:val="24"/>
          <w:lang w:eastAsia="pt-PT"/>
        </w:rPr>
      </w:pPr>
      <w:r>
        <w:rPr>
          <w:rFonts w:eastAsia="Calibri" w:cs="Times New Roman" w:ascii="Times New Roman" w:hAnsi="Times New Roman"/>
          <w:b/>
          <w:sz w:val="24"/>
          <w:szCs w:val="24"/>
          <w:lang w:val="pt-BR" w:eastAsia="pt-PT"/>
        </w:rPr>
        <w:t xml:space="preserve">Tabela </w:t>
      </w:r>
      <w:r>
        <w:rPr>
          <w:rFonts w:cs="Times New Roman" w:ascii="Times New Roman" w:hAnsi="Times New Roman"/>
          <w:b/>
          <w:sz w:val="24"/>
          <w:szCs w:val="24"/>
          <w:lang w:val="pt-BR"/>
        </w:rPr>
        <w:t xml:space="preserve">nº </w:t>
      </w:r>
      <w:r>
        <w:rPr>
          <w:rFonts w:eastAsia="Calibri" w:cs="Times New Roman" w:ascii="Times New Roman" w:hAnsi="Times New Roman"/>
          <w:b/>
          <w:sz w:val="24"/>
          <w:szCs w:val="24"/>
          <w:lang w:val="pt-BR" w:eastAsia="pt-PT"/>
        </w:rPr>
        <w:t xml:space="preserve">7. Proveniência dos Pacientes por Níveis de Atenção Sanitária </w:t>
      </w:r>
      <w:r>
        <w:rPr>
          <w:rFonts w:eastAsia="Times New Roman" w:cs="Times New Roman" w:ascii="Times New Roman" w:hAnsi="Times New Roman"/>
          <w:b/>
          <w:sz w:val="24"/>
          <w:szCs w:val="24"/>
          <w:lang w:eastAsia="pt-PT"/>
        </w:rPr>
        <w:t>IONA/ Janeiro 2026</w:t>
      </w:r>
    </w:p>
    <w:p>
      <w:pPr>
        <w:pStyle w:val="Normal"/>
        <w:tabs>
          <w:tab w:val="clear" w:pos="708"/>
          <w:tab w:val="left" w:pos="1027" w:leader="none"/>
        </w:tabs>
        <w:spacing w:lineRule="auto" w:line="240" w:before="0" w:after="0"/>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tabs>
          <w:tab w:val="clear" w:pos="708"/>
          <w:tab w:val="left" w:pos="6870" w:leader="none"/>
        </w:tabs>
        <w:jc w:val="both"/>
        <w:rPr>
          <w:rFonts w:ascii="Times New Roman" w:hAnsi="Times New Roman" w:cs="Times New Roman"/>
          <w:sz w:val="24"/>
          <w:szCs w:val="24"/>
        </w:rPr>
      </w:pPr>
      <w:r>
        <w:rPr>
          <w:rFonts w:cs="Times New Roman" w:ascii="Times New Roman" w:hAnsi="Times New Roman"/>
          <w:sz w:val="24"/>
          <w:szCs w:val="24"/>
        </w:rPr>
        <w:t>Foram encaminhados ao IONA um total de 1 422 pacientes provenientes  do nível primário de atenção com 84% (1 201) dos casos. Esse quadro demonstra o défice de serviços de saúde ocular a este nível, assim como a funcionalidade dos serviços de referência (nível 3º com apenas 14%).</w:t>
      </w:r>
    </w:p>
    <w:tbl>
      <w:tblPr>
        <w:tblpPr w:vertAnchor="text" w:horzAnchor="margin" w:leftFromText="180" w:rightFromText="180" w:tblpX="0" w:tblpY="284"/>
        <w:tblW w:w="7613" w:type="dxa"/>
        <w:jc w:val="left"/>
        <w:tblInd w:w="-5" w:type="dxa"/>
        <w:tblLayout w:type="fixed"/>
        <w:tblCellMar>
          <w:top w:w="0" w:type="dxa"/>
          <w:left w:w="70" w:type="dxa"/>
          <w:bottom w:w="0" w:type="dxa"/>
          <w:right w:w="70" w:type="dxa"/>
        </w:tblCellMar>
        <w:tblLook w:val="04a0" w:noHBand="0" w:noVBand="1" w:firstColumn="1" w:lastRow="0" w:lastColumn="0" w:firstRow="1"/>
      </w:tblPr>
      <w:tblGrid>
        <w:gridCol w:w="912"/>
        <w:gridCol w:w="3265"/>
        <w:gridCol w:w="1643"/>
        <w:gridCol w:w="1792"/>
      </w:tblGrid>
      <w:tr>
        <w:trPr>
          <w:trHeight w:val="426" w:hRule="atLeast"/>
        </w:trPr>
        <w:tc>
          <w:tcPr>
            <w:tcW w:w="912" w:type="dxa"/>
            <w:tcBorders>
              <w:top w:val="single" w:sz="4" w:space="0" w:color="000000"/>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val="pt-BR" w:eastAsia="pt-BR"/>
              </w:rPr>
            </w:pPr>
            <w:r>
              <w:rPr>
                <w:rFonts w:eastAsia="Times New Roman" w:cs="Times New Roman" w:ascii="Times New Roman" w:hAnsi="Times New Roman"/>
                <w:b/>
                <w:bCs/>
                <w:lang w:val="pt-BR" w:eastAsia="pt-BR"/>
              </w:rPr>
              <w:t>Nº</w:t>
            </w:r>
          </w:p>
        </w:tc>
        <w:tc>
          <w:tcPr>
            <w:tcW w:w="3265"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val="pt-BR" w:eastAsia="pt-BR"/>
              </w:rPr>
            </w:pPr>
            <w:r>
              <w:rPr>
                <w:rFonts w:eastAsia="Times New Roman" w:cs="Times New Roman" w:ascii="Times New Roman" w:hAnsi="Times New Roman"/>
                <w:b/>
                <w:bCs/>
                <w:lang w:val="pt-BR" w:eastAsia="pt-BR"/>
              </w:rPr>
              <w:t>NÍvel de Atenção</w:t>
            </w:r>
          </w:p>
        </w:tc>
        <w:tc>
          <w:tcPr>
            <w:tcW w:w="1643"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val="pt-BR" w:eastAsia="pt-BR"/>
              </w:rPr>
            </w:pPr>
            <w:r>
              <w:rPr>
                <w:rFonts w:eastAsia="Times New Roman" w:cs="Times New Roman" w:ascii="Times New Roman" w:hAnsi="Times New Roman"/>
                <w:b/>
                <w:bCs/>
                <w:lang w:val="pt-BR" w:eastAsia="pt-BR"/>
              </w:rPr>
              <w:t>TOTAL</w:t>
            </w:r>
          </w:p>
        </w:tc>
        <w:tc>
          <w:tcPr>
            <w:tcW w:w="1792"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val="pt-BR" w:eastAsia="pt-BR"/>
              </w:rPr>
            </w:pPr>
            <w:r>
              <w:rPr>
                <w:rFonts w:eastAsia="Times New Roman" w:cs="Times New Roman" w:ascii="Times New Roman" w:hAnsi="Times New Roman"/>
                <w:b/>
                <w:bCs/>
                <w:lang w:val="pt-BR" w:eastAsia="pt-BR"/>
              </w:rPr>
              <w:t>%</w:t>
            </w:r>
          </w:p>
        </w:tc>
      </w:tr>
      <w:tr>
        <w:trPr>
          <w:trHeight w:val="461" w:hRule="atLeast"/>
        </w:trPr>
        <w:tc>
          <w:tcPr>
            <w:tcW w:w="912"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pt-BR" w:eastAsia="pt-BR"/>
              </w:rPr>
            </w:pPr>
            <w:r>
              <w:rPr>
                <w:rFonts w:eastAsia="Times New Roman" w:cs="Times New Roman" w:ascii="Times New Roman" w:hAnsi="Times New Roman"/>
                <w:lang w:val="pt-BR" w:eastAsia="pt-BR"/>
              </w:rPr>
              <w:t>1</w:t>
            </w:r>
          </w:p>
        </w:tc>
        <w:tc>
          <w:tcPr>
            <w:tcW w:w="3265"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lang w:val="pt-BR" w:eastAsia="pt-BR"/>
              </w:rPr>
            </w:pPr>
            <w:r>
              <w:rPr>
                <w:rFonts w:eastAsia="Times New Roman" w:cs="Times New Roman" w:ascii="Times New Roman" w:hAnsi="Times New Roman"/>
                <w:lang w:val="pt-BR" w:eastAsia="pt-BR"/>
              </w:rPr>
              <w:t>Nível Primário</w:t>
            </w:r>
          </w:p>
        </w:tc>
        <w:tc>
          <w:tcPr>
            <w:tcW w:w="164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val="pt-BR" w:eastAsia="pt-BR"/>
              </w:rPr>
            </w:pPr>
            <w:r>
              <w:rPr>
                <w:rFonts w:eastAsia="Times New Roman" w:cs="Times New Roman" w:ascii="Times New Roman" w:hAnsi="Times New Roman"/>
                <w:lang w:val="pt-BR" w:eastAsia="pt-BR"/>
              </w:rPr>
              <w:t>1 201</w:t>
            </w:r>
          </w:p>
        </w:tc>
        <w:tc>
          <w:tcPr>
            <w:tcW w:w="1792"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pt-BR" w:eastAsia="pt-BR"/>
              </w:rPr>
            </w:pPr>
            <w:r>
              <w:rPr>
                <w:rFonts w:eastAsia="Times New Roman" w:cs="Times New Roman" w:ascii="Times New Roman" w:hAnsi="Times New Roman"/>
                <w:lang w:val="pt-BR" w:eastAsia="pt-BR"/>
              </w:rPr>
              <w:t>84</w:t>
            </w:r>
          </w:p>
        </w:tc>
      </w:tr>
      <w:tr>
        <w:trPr>
          <w:trHeight w:val="426" w:hRule="atLeast"/>
        </w:trPr>
        <w:tc>
          <w:tcPr>
            <w:tcW w:w="912"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pt-BR" w:eastAsia="pt-BR"/>
              </w:rPr>
            </w:pPr>
            <w:r>
              <w:rPr>
                <w:rFonts w:eastAsia="Times New Roman" w:cs="Times New Roman" w:ascii="Times New Roman" w:hAnsi="Times New Roman"/>
                <w:lang w:val="pt-BR" w:eastAsia="pt-BR"/>
              </w:rPr>
              <w:t>2</w:t>
            </w:r>
          </w:p>
        </w:tc>
        <w:tc>
          <w:tcPr>
            <w:tcW w:w="3265"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lang w:val="pt-BR" w:eastAsia="pt-BR"/>
              </w:rPr>
            </w:pPr>
            <w:r>
              <w:rPr>
                <w:rFonts w:eastAsia="Times New Roman" w:cs="Times New Roman" w:ascii="Times New Roman" w:hAnsi="Times New Roman"/>
                <w:lang w:val="pt-BR" w:eastAsia="pt-BR"/>
              </w:rPr>
              <w:t>Nível Secundário</w:t>
            </w:r>
          </w:p>
        </w:tc>
        <w:tc>
          <w:tcPr>
            <w:tcW w:w="164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val="pt-BR" w:eastAsia="pt-BR"/>
              </w:rPr>
            </w:pPr>
            <w:r>
              <w:rPr>
                <w:rFonts w:eastAsia="Times New Roman" w:cs="Times New Roman" w:ascii="Times New Roman" w:hAnsi="Times New Roman"/>
                <w:lang w:val="pt-BR" w:eastAsia="pt-BR"/>
              </w:rPr>
              <w:t>29</w:t>
            </w:r>
          </w:p>
        </w:tc>
        <w:tc>
          <w:tcPr>
            <w:tcW w:w="1792"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pt-BR" w:eastAsia="pt-BR"/>
              </w:rPr>
            </w:pPr>
            <w:r>
              <w:rPr>
                <w:rFonts w:eastAsia="Times New Roman" w:cs="Times New Roman" w:ascii="Times New Roman" w:hAnsi="Times New Roman"/>
                <w:lang w:val="pt-BR" w:eastAsia="pt-BR"/>
              </w:rPr>
              <w:t>2</w:t>
            </w:r>
          </w:p>
        </w:tc>
      </w:tr>
      <w:tr>
        <w:trPr>
          <w:trHeight w:val="426" w:hRule="atLeast"/>
        </w:trPr>
        <w:tc>
          <w:tcPr>
            <w:tcW w:w="912"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pt-BR" w:eastAsia="pt-BR"/>
              </w:rPr>
            </w:pPr>
            <w:r>
              <w:rPr>
                <w:rFonts w:eastAsia="Times New Roman" w:cs="Times New Roman" w:ascii="Times New Roman" w:hAnsi="Times New Roman"/>
                <w:lang w:val="pt-BR" w:eastAsia="pt-BR"/>
              </w:rPr>
              <w:t>3</w:t>
            </w:r>
          </w:p>
        </w:tc>
        <w:tc>
          <w:tcPr>
            <w:tcW w:w="3265"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lang w:val="pt-BR" w:eastAsia="pt-BR"/>
              </w:rPr>
            </w:pPr>
            <w:r>
              <w:rPr>
                <w:rFonts w:eastAsia="Times New Roman" w:cs="Times New Roman" w:ascii="Times New Roman" w:hAnsi="Times New Roman"/>
                <w:lang w:val="pt-BR" w:eastAsia="pt-BR"/>
              </w:rPr>
              <w:t>Nível Terciário</w:t>
            </w:r>
          </w:p>
        </w:tc>
        <w:tc>
          <w:tcPr>
            <w:tcW w:w="164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val="pt-BR" w:eastAsia="pt-BR"/>
              </w:rPr>
            </w:pPr>
            <w:r>
              <w:rPr>
                <w:rFonts w:eastAsia="Times New Roman" w:cs="Times New Roman" w:ascii="Times New Roman" w:hAnsi="Times New Roman"/>
                <w:lang w:val="pt-BR" w:eastAsia="pt-BR"/>
              </w:rPr>
              <w:t>192</w:t>
            </w:r>
          </w:p>
        </w:tc>
        <w:tc>
          <w:tcPr>
            <w:tcW w:w="1792"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val="pt-BR" w:eastAsia="pt-BR"/>
              </w:rPr>
            </w:pPr>
            <w:r>
              <w:rPr>
                <w:rFonts w:eastAsia="Times New Roman" w:cs="Times New Roman" w:ascii="Times New Roman" w:hAnsi="Times New Roman"/>
                <w:lang w:val="pt-BR" w:eastAsia="pt-BR"/>
              </w:rPr>
              <w:t>14</w:t>
            </w:r>
          </w:p>
        </w:tc>
      </w:tr>
      <w:tr>
        <w:trPr>
          <w:trHeight w:val="426" w:hRule="atLeast"/>
        </w:trPr>
        <w:tc>
          <w:tcPr>
            <w:tcW w:w="912"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color w:val="000000"/>
                <w:lang w:val="pt-BR" w:eastAsia="pt-BR"/>
              </w:rPr>
            </w:pPr>
            <w:r>
              <w:rPr>
                <w:rFonts w:eastAsia="Times New Roman" w:cs="Times New Roman" w:ascii="Times New Roman" w:hAnsi="Times New Roman"/>
                <w:color w:val="000000"/>
                <w:lang w:val="pt-BR" w:eastAsia="pt-BR"/>
              </w:rPr>
              <w:t> </w:t>
            </w:r>
          </w:p>
        </w:tc>
        <w:tc>
          <w:tcPr>
            <w:tcW w:w="3265"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lang w:val="pt-BR" w:eastAsia="pt-BR"/>
              </w:rPr>
            </w:pPr>
            <w:r>
              <w:rPr>
                <w:rFonts w:eastAsia="Times New Roman" w:cs="Times New Roman" w:ascii="Times New Roman" w:hAnsi="Times New Roman"/>
                <w:b/>
                <w:bCs/>
                <w:color w:val="000000"/>
                <w:lang w:val="pt-BR" w:eastAsia="pt-BR"/>
              </w:rPr>
              <w:t>TOTAL</w:t>
            </w:r>
          </w:p>
        </w:tc>
        <w:tc>
          <w:tcPr>
            <w:tcW w:w="1643"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val="pt-BR" w:eastAsia="pt-BR"/>
              </w:rPr>
            </w:pPr>
            <w:r>
              <w:rPr>
                <w:rFonts w:eastAsia="Times New Roman" w:cs="Times New Roman" w:ascii="Times New Roman" w:hAnsi="Times New Roman"/>
                <w:b/>
                <w:bCs/>
                <w:lang w:val="pt-BR" w:eastAsia="pt-BR"/>
              </w:rPr>
              <w:t>1 422</w:t>
            </w:r>
          </w:p>
        </w:tc>
        <w:tc>
          <w:tcPr>
            <w:tcW w:w="1792"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val="pt-BR" w:eastAsia="pt-BR"/>
              </w:rPr>
            </w:pPr>
            <w:r>
              <w:rPr>
                <w:rFonts w:eastAsia="Times New Roman" w:cs="Times New Roman" w:ascii="Times New Roman" w:hAnsi="Times New Roman"/>
                <w:b/>
                <w:bCs/>
                <w:lang w:val="pt-BR" w:eastAsia="pt-BR"/>
              </w:rPr>
              <w:t>100</w:t>
            </w:r>
          </w:p>
        </w:tc>
      </w:tr>
    </w:tbl>
    <w:p>
      <w:pPr>
        <w:pStyle w:val="Normal"/>
        <w:tabs>
          <w:tab w:val="clear" w:pos="708"/>
          <w:tab w:val="left" w:pos="6870" w:leader="none"/>
        </w:tabs>
        <w:jc w:val="both"/>
        <w:rPr>
          <w:rFonts w:ascii="Times New Roman" w:hAnsi="Times New Roman" w:cs="Times New Roman"/>
          <w:sz w:val="24"/>
          <w:szCs w:val="24"/>
        </w:rPr>
      </w:pPr>
      <w:r>
        <w:rPr>
          <w:rFonts w:cs="Times New Roman" w:ascii="Times New Roman" w:hAnsi="Times New Roman"/>
          <w:sz w:val="24"/>
          <w:szCs w:val="24"/>
        </w:rPr>
      </w:r>
    </w:p>
    <w:p>
      <w:pPr>
        <w:pStyle w:val="Normal"/>
        <w:rPr/>
      </w:pPr>
      <w:r>
        <w:rPr/>
      </w:r>
    </w:p>
    <w:p>
      <w:pPr>
        <w:pStyle w:val="Normal"/>
        <w:rPr/>
      </w:pPr>
      <w:r>
        <w:rPr/>
      </w:r>
    </w:p>
    <w:p>
      <w:pPr>
        <w:pStyle w:val="Normal"/>
        <w:rPr/>
      </w:pPr>
      <w:r>
        <w:rPr/>
      </w:r>
    </w:p>
    <w:p>
      <w:pPr>
        <w:pStyle w:val="Normal"/>
        <w:rPr/>
      </w:pPr>
      <w:r>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0" w:after="0"/>
        <w:rPr>
          <w:rFonts w:ascii="Times New Roman" w:hAnsi="Times New Roman" w:cs="Times New Roman"/>
          <w:bCs/>
          <w:sz w:val="24"/>
          <w:szCs w:val="24"/>
          <w:lang w:val="pt-BR"/>
        </w:rPr>
      </w:pPr>
      <w:r>
        <w:rPr>
          <w:rFonts w:eastAsia="Times New Roman" w:cs="Times New Roman" w:ascii="Times New Roman" w:hAnsi="Times New Roman"/>
          <w:b/>
          <w:bCs/>
          <w:sz w:val="24"/>
          <w:szCs w:val="24"/>
          <w:lang w:val="pt-BR" w:eastAsia="pt-PT"/>
        </w:rPr>
        <w:t xml:space="preserve">Gráfico </w:t>
      </w:r>
      <w:r>
        <w:rPr>
          <w:rFonts w:cs="Times New Roman" w:ascii="Times New Roman" w:hAnsi="Times New Roman"/>
          <w:b/>
          <w:sz w:val="24"/>
          <w:szCs w:val="24"/>
          <w:lang w:val="pt-BR"/>
        </w:rPr>
        <w:t xml:space="preserve">nº </w:t>
      </w:r>
      <w:r>
        <w:rPr>
          <w:rFonts w:eastAsia="Times New Roman" w:cs="Times New Roman" w:ascii="Times New Roman" w:hAnsi="Times New Roman"/>
          <w:b/>
          <w:bCs/>
          <w:sz w:val="24"/>
          <w:szCs w:val="24"/>
          <w:lang w:val="pt-BR" w:eastAsia="pt-PT"/>
        </w:rPr>
        <w:t xml:space="preserve">5. </w:t>
      </w:r>
      <w:r>
        <w:rPr>
          <w:rFonts w:eastAsia="Calibri" w:cs="Times New Roman" w:ascii="Times New Roman" w:hAnsi="Times New Roman"/>
          <w:b/>
          <w:sz w:val="24"/>
          <w:szCs w:val="24"/>
          <w:lang w:val="pt-BR" w:eastAsia="pt-PT"/>
        </w:rPr>
        <w:t xml:space="preserve">Proveniência dos Pacientes por Níveis de Atenção Sanitária </w:t>
      </w:r>
      <w:r>
        <w:rPr>
          <w:rFonts w:eastAsia="Times New Roman" w:cs="Times New Roman" w:ascii="Times New Roman" w:hAnsi="Times New Roman"/>
          <w:b/>
          <w:sz w:val="24"/>
          <w:szCs w:val="24"/>
          <w:lang w:eastAsia="pt-PT"/>
        </w:rPr>
        <w:t>IONA/ Janeiro 2026</w:t>
      </w:r>
    </w:p>
    <w:p>
      <w:pPr>
        <w:pStyle w:val="Normal"/>
        <w:tabs>
          <w:tab w:val="clear" w:pos="708"/>
          <w:tab w:val="left" w:pos="1027" w:leader="none"/>
        </w:tabs>
        <w:spacing w:lineRule="auto" w:line="240" w:before="0" w:after="0"/>
        <w:rPr>
          <w:rFonts w:ascii="Times New Roman" w:hAnsi="Times New Roman" w:eastAsia="Calibri" w:cs="Times New Roman"/>
          <w:b/>
          <w:color w:val="FF0000"/>
          <w:sz w:val="24"/>
          <w:szCs w:val="24"/>
          <w:lang w:val="pt-BR" w:eastAsia="pt-PT"/>
        </w:rPr>
      </w:pPr>
      <w:r>
        <w:rPr>
          <w:rFonts w:eastAsia="Calibri" w:cs="Times New Roman" w:ascii="Times New Roman" w:hAnsi="Times New Roman"/>
          <w:b/>
          <w:color w:val="FF0000"/>
          <w:sz w:val="24"/>
          <w:szCs w:val="24"/>
          <w:lang w:val="pt-BR" w:eastAsia="pt-PT"/>
        </w:rPr>
      </w:r>
    </w:p>
    <w:p>
      <w:pPr>
        <w:pStyle w:val="Normal"/>
        <w:tabs>
          <w:tab w:val="clear" w:pos="708"/>
          <w:tab w:val="left" w:pos="1027" w:leader="none"/>
        </w:tabs>
        <w:spacing w:lineRule="auto" w:line="240" w:before="0" w:after="0"/>
        <w:jc w:val="center"/>
        <w:rPr>
          <w:rFonts w:ascii="Times New Roman" w:hAnsi="Times New Roman" w:eastAsia="Calibri" w:cs="Times New Roman"/>
          <w:b/>
          <w:sz w:val="24"/>
          <w:szCs w:val="24"/>
          <w:lang w:eastAsia="pt-PT"/>
        </w:rPr>
      </w:pPr>
      <w:r>
        <w:rPr>
          <w:rFonts w:eastAsia="Calibri" w:cs="Times New Roman" w:ascii="Times New Roman" w:hAnsi="Times New Roman"/>
          <w:b/>
          <w:sz w:val="24"/>
          <w:szCs w:val="24"/>
          <w:lang w:eastAsia="pt-PT"/>
        </w:rPr>
      </w:r>
    </w:p>
    <w:p>
      <w:pPr>
        <w:pStyle w:val="Normal"/>
        <w:tabs>
          <w:tab w:val="clear" w:pos="708"/>
          <w:tab w:val="left" w:pos="1027" w:leader="none"/>
        </w:tabs>
        <w:spacing w:lineRule="auto" w:line="240" w:before="0" w:after="0"/>
        <w:jc w:val="center"/>
        <w:rPr>
          <w:rFonts w:ascii="Times New Roman" w:hAnsi="Times New Roman" w:eastAsia="Calibri" w:cs="Times New Roman"/>
          <w:b/>
          <w:sz w:val="24"/>
          <w:szCs w:val="24"/>
          <w:lang w:eastAsia="pt-PT"/>
        </w:rPr>
      </w:pPr>
      <w:r>
        <w:rPr>
          <w:rFonts w:eastAsia="Calibri" w:cs="Times New Roman" w:ascii="Times New Roman" w:hAnsi="Times New Roman"/>
          <w:b/>
          <w:sz w:val="24"/>
          <w:szCs w:val="24"/>
          <w:lang w:eastAsia="pt-PT"/>
        </w:rPr>
      </w:r>
    </w:p>
    <w:p>
      <w:pPr>
        <w:pStyle w:val="Normal"/>
        <w:tabs>
          <w:tab w:val="clear" w:pos="708"/>
          <w:tab w:val="left" w:pos="1027" w:leader="none"/>
        </w:tabs>
        <w:spacing w:lineRule="auto" w:line="240" w:before="0" w:after="0"/>
        <w:jc w:val="center"/>
        <w:rPr>
          <w:rFonts w:ascii="Times New Roman" w:hAnsi="Times New Roman" w:eastAsia="Calibri" w:cs="Times New Roman"/>
          <w:b/>
          <w:sz w:val="24"/>
          <w:szCs w:val="24"/>
          <w:lang w:eastAsia="pt-PT"/>
        </w:rPr>
      </w:pPr>
      <w:r>
        <w:rPr/>
        <w:drawing>
          <wp:inline distT="0" distB="0" distL="0" distR="0">
            <wp:extent cx="4124325" cy="2847975"/>
            <wp:effectExtent l="0" t="0" r="0" b="0"/>
            <wp:docPr id="8" name="Gráfico 2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pPr>
        <w:pStyle w:val="Normal"/>
        <w:tabs>
          <w:tab w:val="clear" w:pos="708"/>
          <w:tab w:val="left" w:pos="1027" w:leader="none"/>
        </w:tabs>
        <w:spacing w:lineRule="auto" w:line="240" w:before="0" w:after="0"/>
        <w:rPr>
          <w:rFonts w:ascii="Times New Roman" w:hAnsi="Times New Roman" w:eastAsia="Calibri" w:cs="Times New Roman"/>
          <w:b/>
          <w:sz w:val="24"/>
          <w:szCs w:val="24"/>
          <w:lang w:val="pt-BR" w:eastAsia="pt-PT"/>
        </w:rPr>
      </w:pPr>
      <w:r>
        <w:rPr>
          <w:rFonts w:eastAsia="Calibri" w:cs="Times New Roman" w:ascii="Times New Roman" w:hAnsi="Times New Roman"/>
          <w:b/>
          <w:sz w:val="24"/>
          <w:szCs w:val="24"/>
          <w:lang w:val="pt-BR" w:eastAsia="pt-PT"/>
        </w:rPr>
      </w:r>
    </w:p>
    <w:p>
      <w:pPr>
        <w:pStyle w:val="Normal"/>
        <w:tabs>
          <w:tab w:val="clear" w:pos="708"/>
          <w:tab w:val="left" w:pos="1027" w:leader="none"/>
        </w:tabs>
        <w:spacing w:lineRule="auto" w:line="240" w:before="0" w:after="0"/>
        <w:rPr>
          <w:rFonts w:ascii="Times New Roman" w:hAnsi="Times New Roman" w:eastAsia="Calibri" w:cs="Times New Roman"/>
          <w:b/>
          <w:sz w:val="24"/>
          <w:szCs w:val="24"/>
          <w:lang w:val="pt-BR" w:eastAsia="pt-PT"/>
        </w:rPr>
      </w:pPr>
      <w:r>
        <w:rPr>
          <w:rFonts w:eastAsia="Calibri" w:cs="Times New Roman" w:ascii="Times New Roman" w:hAnsi="Times New Roman"/>
          <w:b/>
          <w:sz w:val="24"/>
          <w:szCs w:val="24"/>
          <w:lang w:val="pt-BR" w:eastAsia="pt-PT"/>
        </w:rPr>
      </w:r>
    </w:p>
    <w:p>
      <w:pPr>
        <w:pStyle w:val="Normal"/>
        <w:tabs>
          <w:tab w:val="clear" w:pos="708"/>
          <w:tab w:val="left" w:pos="1027" w:leader="none"/>
        </w:tabs>
        <w:spacing w:lineRule="auto" w:line="240" w:before="0" w:after="0"/>
        <w:rPr>
          <w:rFonts w:ascii="Times New Roman" w:hAnsi="Times New Roman" w:eastAsia="Calibri" w:cs="Times New Roman"/>
          <w:b/>
          <w:sz w:val="24"/>
          <w:szCs w:val="24"/>
          <w:lang w:val="pt-BR" w:eastAsia="pt-PT"/>
        </w:rPr>
      </w:pPr>
      <w:r>
        <w:rPr>
          <w:rFonts w:eastAsia="Calibri" w:cs="Times New Roman" w:ascii="Times New Roman" w:hAnsi="Times New Roman"/>
          <w:b/>
          <w:sz w:val="24"/>
          <w:szCs w:val="24"/>
          <w:lang w:val="pt-BR" w:eastAsia="pt-PT"/>
        </w:rPr>
      </w:r>
    </w:p>
    <w:p>
      <w:pPr>
        <w:pStyle w:val="Normal"/>
        <w:tabs>
          <w:tab w:val="clear" w:pos="708"/>
          <w:tab w:val="left" w:pos="1027" w:leader="none"/>
        </w:tabs>
        <w:spacing w:lineRule="auto" w:line="240" w:before="0" w:after="0"/>
        <w:rPr>
          <w:rFonts w:ascii="Times New Roman" w:hAnsi="Times New Roman" w:eastAsia="Calibri" w:cs="Times New Roman"/>
          <w:b/>
          <w:sz w:val="24"/>
          <w:szCs w:val="24"/>
          <w:lang w:val="pt-BR" w:eastAsia="pt-PT"/>
        </w:rPr>
      </w:pPr>
      <w:r>
        <w:rPr>
          <w:rFonts w:eastAsia="Calibri" w:cs="Times New Roman" w:ascii="Times New Roman" w:hAnsi="Times New Roman"/>
          <w:b/>
          <w:sz w:val="24"/>
          <w:szCs w:val="24"/>
          <w:lang w:val="pt-BR" w:eastAsia="pt-PT"/>
        </w:rPr>
      </w:r>
    </w:p>
    <w:p>
      <w:pPr>
        <w:pStyle w:val="Normal"/>
        <w:tabs>
          <w:tab w:val="clear" w:pos="708"/>
          <w:tab w:val="left" w:pos="1027" w:leader="none"/>
        </w:tabs>
        <w:spacing w:lineRule="auto" w:line="240" w:before="0" w:after="0"/>
        <w:rPr>
          <w:rFonts w:ascii="Times New Roman" w:hAnsi="Times New Roman" w:eastAsia="Calibri" w:cs="Times New Roman"/>
          <w:b/>
          <w:sz w:val="24"/>
          <w:szCs w:val="24"/>
          <w:lang w:val="pt-BR" w:eastAsia="pt-PT"/>
        </w:rPr>
      </w:pPr>
      <w:r>
        <w:rPr>
          <w:rFonts w:eastAsia="Calibri" w:cs="Times New Roman" w:ascii="Times New Roman" w:hAnsi="Times New Roman"/>
          <w:b/>
          <w:sz w:val="24"/>
          <w:szCs w:val="24"/>
          <w:lang w:val="pt-BR" w:eastAsia="pt-PT"/>
        </w:rPr>
      </w:r>
    </w:p>
    <w:p>
      <w:pPr>
        <w:pStyle w:val="Normal"/>
        <w:tabs>
          <w:tab w:val="clear" w:pos="708"/>
          <w:tab w:val="left" w:pos="1027" w:leader="none"/>
        </w:tabs>
        <w:spacing w:lineRule="auto" w:line="240" w:before="0" w:after="0"/>
        <w:rPr>
          <w:rFonts w:ascii="Times New Roman" w:hAnsi="Times New Roman" w:eastAsia="Calibri" w:cs="Times New Roman"/>
          <w:b/>
          <w:sz w:val="24"/>
          <w:szCs w:val="24"/>
          <w:lang w:val="pt-BR" w:eastAsia="pt-PT"/>
        </w:rPr>
      </w:pPr>
      <w:r>
        <w:rPr>
          <w:rFonts w:eastAsia="Calibri" w:cs="Times New Roman" w:ascii="Times New Roman" w:hAnsi="Times New Roman"/>
          <w:b/>
          <w:sz w:val="24"/>
          <w:szCs w:val="24"/>
          <w:lang w:val="pt-BR" w:eastAsia="pt-PT"/>
        </w:rPr>
      </w:r>
    </w:p>
    <w:p>
      <w:pPr>
        <w:pStyle w:val="Normal"/>
        <w:tabs>
          <w:tab w:val="clear" w:pos="708"/>
          <w:tab w:val="left" w:pos="1027" w:leader="none"/>
        </w:tabs>
        <w:spacing w:lineRule="auto" w:line="240" w:before="0" w:after="0"/>
        <w:rPr>
          <w:rFonts w:ascii="Times New Roman" w:hAnsi="Times New Roman" w:eastAsia="Calibri" w:cs="Times New Roman"/>
          <w:b/>
          <w:sz w:val="24"/>
          <w:szCs w:val="24"/>
          <w:lang w:val="pt-BR" w:eastAsia="pt-PT"/>
        </w:rPr>
      </w:pPr>
      <w:r>
        <w:rPr>
          <w:rFonts w:eastAsia="Calibri" w:cs="Times New Roman" w:ascii="Times New Roman" w:hAnsi="Times New Roman"/>
          <w:b/>
          <w:sz w:val="24"/>
          <w:szCs w:val="24"/>
          <w:lang w:val="pt-BR" w:eastAsia="pt-PT"/>
        </w:rPr>
      </w:r>
    </w:p>
    <w:p>
      <w:pPr>
        <w:pStyle w:val="Normal"/>
        <w:tabs>
          <w:tab w:val="clear" w:pos="708"/>
          <w:tab w:val="left" w:pos="1027" w:leader="none"/>
        </w:tabs>
        <w:spacing w:lineRule="auto" w:line="240" w:before="0" w:after="0"/>
        <w:rPr>
          <w:rFonts w:ascii="Times New Roman" w:hAnsi="Times New Roman" w:eastAsia="Calibri" w:cs="Times New Roman"/>
          <w:b/>
          <w:sz w:val="24"/>
          <w:szCs w:val="24"/>
          <w:lang w:val="pt-BR" w:eastAsia="pt-PT"/>
        </w:rPr>
      </w:pPr>
      <w:r>
        <w:rPr>
          <w:rFonts w:eastAsia="Calibri" w:cs="Times New Roman" w:ascii="Times New Roman" w:hAnsi="Times New Roman"/>
          <w:b/>
          <w:sz w:val="24"/>
          <w:szCs w:val="24"/>
          <w:lang w:val="pt-BR" w:eastAsia="pt-PT"/>
        </w:rPr>
      </w:r>
    </w:p>
    <w:p>
      <w:pPr>
        <w:pStyle w:val="Normal"/>
        <w:tabs>
          <w:tab w:val="clear" w:pos="708"/>
          <w:tab w:val="left" w:pos="1027" w:leader="none"/>
        </w:tabs>
        <w:spacing w:lineRule="auto" w:line="240" w:before="0" w:after="0"/>
        <w:rPr>
          <w:rFonts w:ascii="Times New Roman" w:hAnsi="Times New Roman" w:eastAsia="Calibri" w:cs="Times New Roman"/>
          <w:b/>
          <w:sz w:val="24"/>
          <w:szCs w:val="24"/>
          <w:lang w:val="pt-BR" w:eastAsia="pt-PT"/>
        </w:rPr>
      </w:pPr>
      <w:r>
        <w:rPr>
          <w:rFonts w:eastAsia="Calibri" w:cs="Times New Roman" w:ascii="Times New Roman" w:hAnsi="Times New Roman"/>
          <w:b/>
          <w:sz w:val="24"/>
          <w:szCs w:val="24"/>
          <w:lang w:val="pt-BR" w:eastAsia="pt-PT"/>
        </w:rPr>
      </w:r>
    </w:p>
    <w:p>
      <w:pPr>
        <w:pStyle w:val="Normal"/>
        <w:tabs>
          <w:tab w:val="clear" w:pos="708"/>
          <w:tab w:val="left" w:pos="1027" w:leader="none"/>
        </w:tabs>
        <w:spacing w:lineRule="auto" w:line="240" w:before="0" w:after="0"/>
        <w:rPr>
          <w:rFonts w:ascii="Times New Roman" w:hAnsi="Times New Roman" w:eastAsia="Calibri" w:cs="Times New Roman"/>
          <w:b/>
          <w:sz w:val="24"/>
          <w:szCs w:val="24"/>
          <w:lang w:val="pt-BR" w:eastAsia="pt-PT"/>
        </w:rPr>
      </w:pPr>
      <w:r>
        <w:rPr>
          <w:rFonts w:eastAsia="Calibri" w:cs="Times New Roman" w:ascii="Times New Roman" w:hAnsi="Times New Roman"/>
          <w:b/>
          <w:sz w:val="24"/>
          <w:szCs w:val="24"/>
          <w:lang w:val="pt-BR" w:eastAsia="pt-PT"/>
        </w:rPr>
      </w:r>
    </w:p>
    <w:p>
      <w:pPr>
        <w:pStyle w:val="Normal"/>
        <w:tabs>
          <w:tab w:val="clear" w:pos="708"/>
          <w:tab w:val="left" w:pos="1027" w:leader="none"/>
        </w:tabs>
        <w:spacing w:lineRule="auto" w:line="240" w:before="0" w:after="0"/>
        <w:rPr>
          <w:rFonts w:ascii="Times New Roman" w:hAnsi="Times New Roman" w:eastAsia="Calibri" w:cs="Times New Roman"/>
          <w:b/>
          <w:sz w:val="24"/>
          <w:szCs w:val="24"/>
          <w:lang w:val="pt-BR" w:eastAsia="pt-PT"/>
        </w:rPr>
      </w:pPr>
      <w:r>
        <w:rPr>
          <w:rFonts w:eastAsia="Calibri" w:cs="Times New Roman" w:ascii="Times New Roman" w:hAnsi="Times New Roman"/>
          <w:b/>
          <w:sz w:val="24"/>
          <w:szCs w:val="24"/>
          <w:lang w:val="pt-BR" w:eastAsia="pt-PT"/>
        </w:rPr>
      </w:r>
    </w:p>
    <w:p>
      <w:pPr>
        <w:pStyle w:val="Normal"/>
        <w:tabs>
          <w:tab w:val="clear" w:pos="708"/>
          <w:tab w:val="left" w:pos="1027" w:leader="none"/>
        </w:tabs>
        <w:spacing w:lineRule="auto" w:line="240" w:before="0" w:after="0"/>
        <w:rPr>
          <w:rFonts w:ascii="Times New Roman" w:hAnsi="Times New Roman" w:eastAsia="Times New Roman" w:cs="Times New Roman"/>
          <w:b/>
          <w:sz w:val="24"/>
          <w:szCs w:val="24"/>
          <w:lang w:eastAsia="pt-PT"/>
        </w:rPr>
      </w:pPr>
      <w:r>
        <w:rPr>
          <w:rFonts w:eastAsia="Calibri" w:cs="Times New Roman" w:ascii="Times New Roman" w:hAnsi="Times New Roman"/>
          <w:b/>
          <w:sz w:val="24"/>
          <w:szCs w:val="24"/>
          <w:lang w:val="pt-BR" w:eastAsia="pt-PT"/>
        </w:rPr>
        <w:t xml:space="preserve">Tabela </w:t>
      </w:r>
      <w:r>
        <w:rPr>
          <w:rFonts w:cs="Times New Roman" w:ascii="Times New Roman" w:hAnsi="Times New Roman"/>
          <w:b/>
          <w:sz w:val="24"/>
          <w:szCs w:val="24"/>
          <w:lang w:val="pt-BR"/>
        </w:rPr>
        <w:t xml:space="preserve">nº </w:t>
      </w:r>
      <w:r>
        <w:rPr>
          <w:rFonts w:eastAsia="Calibri" w:cs="Times New Roman" w:ascii="Times New Roman" w:hAnsi="Times New Roman"/>
          <w:b/>
          <w:sz w:val="24"/>
          <w:szCs w:val="24"/>
          <w:lang w:val="pt-BR" w:eastAsia="pt-PT"/>
        </w:rPr>
        <w:t xml:space="preserve">7.1. Proveniência dos Pacientes por Províncias </w:t>
      </w:r>
      <w:r>
        <w:rPr>
          <w:rFonts w:eastAsia="Times New Roman" w:cs="Times New Roman" w:ascii="Times New Roman" w:hAnsi="Times New Roman"/>
          <w:b/>
          <w:sz w:val="24"/>
          <w:szCs w:val="24"/>
          <w:lang w:eastAsia="pt-PT"/>
        </w:rPr>
        <w:t>IONA/ Janeiro 2026</w:t>
      </w:r>
    </w:p>
    <w:p>
      <w:pPr>
        <w:pStyle w:val="Normal"/>
        <w:tabs>
          <w:tab w:val="clear" w:pos="708"/>
          <w:tab w:val="left" w:pos="1027" w:leader="none"/>
        </w:tabs>
        <w:spacing w:lineRule="auto" w:line="240" w:before="0" w:after="0"/>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tabs>
          <w:tab w:val="clear" w:pos="708"/>
          <w:tab w:val="left" w:pos="1027" w:leader="none"/>
        </w:tabs>
        <w:spacing w:lineRule="auto" w:line="240" w:before="0" w:after="0"/>
        <w:rPr>
          <w:rFonts w:ascii="Times New Roman" w:hAnsi="Times New Roman" w:eastAsia="Times New Roman" w:cs="Times New Roman"/>
          <w:b/>
          <w:sz w:val="24"/>
          <w:szCs w:val="24"/>
          <w:lang w:eastAsia="pt-PT"/>
        </w:rPr>
      </w:pPr>
      <w:r>
        <w:rPr>
          <w:rFonts w:cs="Times New Roman" w:ascii="Times New Roman" w:hAnsi="Times New Roman"/>
          <w:sz w:val="24"/>
          <w:szCs w:val="24"/>
        </w:rPr>
        <w:t>Foram encaminhados ao IONA um total de 1 422 pacientes, sendo a maior parte da província de Luanda em 95% dos pacientes, seguido pela província do Bengo com 2%, o que se entende por ser a mais próxima da capital</w:t>
      </w:r>
      <w:r>
        <w:rPr>
          <w:rFonts w:cs="Times New Roman" w:ascii="Times New Roman" w:hAnsi="Times New Roman"/>
          <w:b/>
          <w:sz w:val="24"/>
          <w:szCs w:val="24"/>
        </w:rPr>
        <w:t>.</w:t>
      </w:r>
      <w:r>
        <w:fldChar w:fldCharType="begin"/>
      </w:r>
      <w:r>
        <w:rPr>
          <w:sz w:val="24"/>
          <w:b/>
          <w:szCs w:val="24"/>
          <w:rFonts w:cs="Times New Roman" w:ascii="Times New Roman" w:hAnsi="Times New Roman"/>
        </w:rPr>
        <w:instrText xml:space="preserve">LINK Excel.Sheet.12 "C:\\Users\\Otaln\\OneDrive\\Desktop\\ESTATÍSTICA DE 2025\\ESTATÍSTICA ANUAL\\ESTATÍSTICA ANUAL MINSA.xlsx" PROVENIÊNCIA!L26C2:L45C5 \a \f 4 \h  \* MERGEFORMAT</w:instrText>
      </w:r>
      <w:r>
        <w:rPr>
          <w:rFonts w:cs="Times New Roman" w:ascii="Times New Roman" w:hAnsi="Times New Roman"/>
          <w:b/>
          <w:sz w:val="24"/>
          <w:szCs w:val="24"/>
        </w:rPr>
      </w:r>
      <w:r>
        <w:rPr>
          <w:sz w:val="24"/>
          <w:b/>
          <w:szCs w:val="24"/>
          <w:rFonts w:cs="Times New Roman" w:ascii="Times New Roman" w:hAnsi="Times New Roman"/>
        </w:rPr>
        <w:fldChar w:fldCharType="separate"/>
      </w:r>
      <w:r/>
      <w:r>
        <w:rPr>
          <w:rFonts w:cs="Times New Roman" w:ascii="Times New Roman" w:hAnsi="Times New Roman"/>
          <w:b/>
          <w:sz w:val="24"/>
          <w:szCs w:val="24"/>
        </w:rPr>
      </w:r>
    </w:p>
    <w:p>
      <w:pPr>
        <w:pStyle w:val="Normal"/>
        <w:spacing w:lineRule="auto" w:line="240" w:before="240" w:after="0"/>
        <w:jc w:val="both"/>
        <w:rPr>
          <w:rFonts w:ascii="Times New Roman" w:hAnsi="Times New Roman" w:cs="Times New Roman"/>
          <w:color w:val="FF0000"/>
          <w:sz w:val="24"/>
          <w:szCs w:val="24"/>
        </w:rPr>
      </w:pPr>
      <w:r/>
      <w:r>
        <w:rPr>
          <w:sz w:val="24"/>
          <w:b/>
          <w:szCs w:val="24"/>
          <w:rFonts w:cs="Times New Roman" w:ascii="Times New Roman" w:hAnsi="Times New Roman"/>
        </w:rPr>
        <w:fldChar w:fldCharType="end"/>
      </w:r>
      <w:r>
        <w:rPr>
          <w:rFonts w:cs="Times New Roman" w:ascii="Times New Roman" w:hAnsi="Times New Roman"/>
          <w:b/>
          <w:sz w:val="24"/>
          <w:szCs w:val="24"/>
        </w:rPr>
      </w:r>
    </w:p>
    <w:tbl>
      <w:tblPr>
        <w:tblW w:w="5524" w:type="dxa"/>
        <w:jc w:val="left"/>
        <w:tblInd w:w="411" w:type="dxa"/>
        <w:tblLayout w:type="fixed"/>
        <w:tblCellMar>
          <w:top w:w="0" w:type="dxa"/>
          <w:left w:w="70" w:type="dxa"/>
          <w:bottom w:w="0" w:type="dxa"/>
          <w:right w:w="70" w:type="dxa"/>
        </w:tblCellMar>
        <w:tblLook w:val="04a0" w:noHBand="0" w:noVBand="1" w:firstColumn="1" w:lastRow="0" w:lastColumn="0" w:firstRow="1"/>
      </w:tblPr>
      <w:tblGrid>
        <w:gridCol w:w="700"/>
        <w:gridCol w:w="2717"/>
        <w:gridCol w:w="1113"/>
        <w:gridCol w:w="993"/>
      </w:tblGrid>
      <w:tr>
        <w:trPr>
          <w:trHeight w:val="343" w:hRule="atLeast"/>
        </w:trPr>
        <w:tc>
          <w:tcPr>
            <w:tcW w:w="700" w:type="dxa"/>
            <w:tcBorders>
              <w:top w:val="single" w:sz="4" w:space="0" w:color="000000"/>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Nº</w:t>
            </w:r>
          </w:p>
        </w:tc>
        <w:tc>
          <w:tcPr>
            <w:tcW w:w="2717"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Províncias</w:t>
            </w:r>
          </w:p>
        </w:tc>
        <w:tc>
          <w:tcPr>
            <w:tcW w:w="1113"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TOTAL</w:t>
            </w:r>
          </w:p>
        </w:tc>
        <w:tc>
          <w:tcPr>
            <w:tcW w:w="993"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w:t>
            </w:r>
          </w:p>
        </w:tc>
      </w:tr>
      <w:tr>
        <w:trPr>
          <w:trHeight w:val="376" w:hRule="atLeast"/>
        </w:trPr>
        <w:tc>
          <w:tcPr>
            <w:tcW w:w="700"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w:t>
            </w:r>
          </w:p>
        </w:tc>
        <w:tc>
          <w:tcPr>
            <w:tcW w:w="271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Bengo</w:t>
            </w:r>
          </w:p>
        </w:tc>
        <w:tc>
          <w:tcPr>
            <w:tcW w:w="111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26</w:t>
            </w:r>
          </w:p>
        </w:tc>
        <w:tc>
          <w:tcPr>
            <w:tcW w:w="99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w:t>
            </w:r>
          </w:p>
        </w:tc>
      </w:tr>
      <w:tr>
        <w:trPr>
          <w:trHeight w:val="376" w:hRule="atLeast"/>
        </w:trPr>
        <w:tc>
          <w:tcPr>
            <w:tcW w:w="700"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w:t>
            </w:r>
          </w:p>
        </w:tc>
        <w:tc>
          <w:tcPr>
            <w:tcW w:w="271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Benguela</w:t>
            </w:r>
          </w:p>
        </w:tc>
        <w:tc>
          <w:tcPr>
            <w:tcW w:w="111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w:t>
            </w:r>
          </w:p>
        </w:tc>
        <w:tc>
          <w:tcPr>
            <w:tcW w:w="99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0</w:t>
            </w:r>
          </w:p>
        </w:tc>
      </w:tr>
      <w:tr>
        <w:trPr>
          <w:trHeight w:val="376" w:hRule="atLeast"/>
        </w:trPr>
        <w:tc>
          <w:tcPr>
            <w:tcW w:w="700"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3</w:t>
            </w:r>
          </w:p>
        </w:tc>
        <w:tc>
          <w:tcPr>
            <w:tcW w:w="271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Cuanza Sul</w:t>
            </w:r>
          </w:p>
        </w:tc>
        <w:tc>
          <w:tcPr>
            <w:tcW w:w="111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w:t>
            </w:r>
          </w:p>
        </w:tc>
        <w:tc>
          <w:tcPr>
            <w:tcW w:w="99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0</w:t>
            </w:r>
          </w:p>
        </w:tc>
      </w:tr>
      <w:tr>
        <w:trPr>
          <w:trHeight w:val="376" w:hRule="atLeast"/>
        </w:trPr>
        <w:tc>
          <w:tcPr>
            <w:tcW w:w="700"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4</w:t>
            </w:r>
          </w:p>
        </w:tc>
        <w:tc>
          <w:tcPr>
            <w:tcW w:w="271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Cuanza Norte</w:t>
            </w:r>
          </w:p>
        </w:tc>
        <w:tc>
          <w:tcPr>
            <w:tcW w:w="111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8</w:t>
            </w:r>
          </w:p>
        </w:tc>
        <w:tc>
          <w:tcPr>
            <w:tcW w:w="99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w:t>
            </w:r>
          </w:p>
        </w:tc>
      </w:tr>
      <w:tr>
        <w:trPr>
          <w:trHeight w:val="376" w:hRule="atLeast"/>
        </w:trPr>
        <w:tc>
          <w:tcPr>
            <w:tcW w:w="700"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5</w:t>
            </w:r>
          </w:p>
        </w:tc>
        <w:tc>
          <w:tcPr>
            <w:tcW w:w="271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Huambo</w:t>
            </w:r>
          </w:p>
        </w:tc>
        <w:tc>
          <w:tcPr>
            <w:tcW w:w="111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w:t>
            </w:r>
          </w:p>
        </w:tc>
        <w:tc>
          <w:tcPr>
            <w:tcW w:w="99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0</w:t>
            </w:r>
          </w:p>
        </w:tc>
      </w:tr>
      <w:tr>
        <w:trPr>
          <w:trHeight w:val="376" w:hRule="atLeast"/>
        </w:trPr>
        <w:tc>
          <w:tcPr>
            <w:tcW w:w="700"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6</w:t>
            </w:r>
          </w:p>
        </w:tc>
        <w:tc>
          <w:tcPr>
            <w:tcW w:w="271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Uíge</w:t>
            </w:r>
          </w:p>
        </w:tc>
        <w:tc>
          <w:tcPr>
            <w:tcW w:w="111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8</w:t>
            </w:r>
          </w:p>
        </w:tc>
        <w:tc>
          <w:tcPr>
            <w:tcW w:w="99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w:t>
            </w:r>
          </w:p>
        </w:tc>
      </w:tr>
      <w:tr>
        <w:trPr>
          <w:trHeight w:val="376" w:hRule="atLeast"/>
        </w:trPr>
        <w:tc>
          <w:tcPr>
            <w:tcW w:w="700"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7</w:t>
            </w:r>
          </w:p>
        </w:tc>
        <w:tc>
          <w:tcPr>
            <w:tcW w:w="271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Luanda</w:t>
            </w:r>
          </w:p>
        </w:tc>
        <w:tc>
          <w:tcPr>
            <w:tcW w:w="111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1 358</w:t>
            </w:r>
          </w:p>
        </w:tc>
        <w:tc>
          <w:tcPr>
            <w:tcW w:w="99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95</w:t>
            </w:r>
          </w:p>
        </w:tc>
      </w:tr>
      <w:tr>
        <w:trPr>
          <w:trHeight w:val="376" w:hRule="atLeast"/>
        </w:trPr>
        <w:tc>
          <w:tcPr>
            <w:tcW w:w="700"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8</w:t>
            </w:r>
          </w:p>
        </w:tc>
        <w:tc>
          <w:tcPr>
            <w:tcW w:w="271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Malanje</w:t>
            </w:r>
          </w:p>
        </w:tc>
        <w:tc>
          <w:tcPr>
            <w:tcW w:w="111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8</w:t>
            </w:r>
          </w:p>
        </w:tc>
        <w:tc>
          <w:tcPr>
            <w:tcW w:w="99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w:t>
            </w:r>
          </w:p>
        </w:tc>
      </w:tr>
      <w:tr>
        <w:trPr>
          <w:trHeight w:val="376" w:hRule="atLeast"/>
        </w:trPr>
        <w:tc>
          <w:tcPr>
            <w:tcW w:w="700"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9</w:t>
            </w:r>
          </w:p>
        </w:tc>
        <w:tc>
          <w:tcPr>
            <w:tcW w:w="271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Bié</w:t>
            </w:r>
          </w:p>
        </w:tc>
        <w:tc>
          <w:tcPr>
            <w:tcW w:w="111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3</w:t>
            </w:r>
          </w:p>
        </w:tc>
        <w:tc>
          <w:tcPr>
            <w:tcW w:w="99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0</w:t>
            </w:r>
          </w:p>
        </w:tc>
      </w:tr>
      <w:tr>
        <w:trPr>
          <w:trHeight w:val="376" w:hRule="atLeast"/>
        </w:trPr>
        <w:tc>
          <w:tcPr>
            <w:tcW w:w="700"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10</w:t>
            </w:r>
          </w:p>
        </w:tc>
        <w:tc>
          <w:tcPr>
            <w:tcW w:w="271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Zaire</w:t>
            </w:r>
          </w:p>
        </w:tc>
        <w:tc>
          <w:tcPr>
            <w:tcW w:w="111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3</w:t>
            </w:r>
          </w:p>
        </w:tc>
        <w:tc>
          <w:tcPr>
            <w:tcW w:w="99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0</w:t>
            </w:r>
          </w:p>
        </w:tc>
      </w:tr>
      <w:tr>
        <w:trPr>
          <w:trHeight w:val="376" w:hRule="atLeast"/>
        </w:trPr>
        <w:tc>
          <w:tcPr>
            <w:tcW w:w="700"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11</w:t>
            </w:r>
          </w:p>
        </w:tc>
        <w:tc>
          <w:tcPr>
            <w:tcW w:w="271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Lunda Norte</w:t>
            </w:r>
          </w:p>
        </w:tc>
        <w:tc>
          <w:tcPr>
            <w:tcW w:w="111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w:t>
            </w:r>
          </w:p>
        </w:tc>
        <w:tc>
          <w:tcPr>
            <w:tcW w:w="99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0</w:t>
            </w:r>
          </w:p>
        </w:tc>
      </w:tr>
      <w:tr>
        <w:trPr>
          <w:trHeight w:val="376" w:hRule="atLeast"/>
        </w:trPr>
        <w:tc>
          <w:tcPr>
            <w:tcW w:w="700" w:type="dxa"/>
            <w:tcBorders>
              <w:left w:val="single" w:sz="4" w:space="0" w:color="000000"/>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12</w:t>
            </w:r>
          </w:p>
        </w:tc>
        <w:tc>
          <w:tcPr>
            <w:tcW w:w="271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Huíla</w:t>
            </w:r>
          </w:p>
        </w:tc>
        <w:tc>
          <w:tcPr>
            <w:tcW w:w="1113" w:type="dxa"/>
            <w:tcBorders>
              <w:bottom w:val="single" w:sz="4" w:space="0" w:color="000000"/>
              <w:right w:val="single" w:sz="4" w:space="0" w:color="000000"/>
            </w:tcBorders>
            <w:shd w:color="000000" w:fill="FFFFFF" w:val="clear"/>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2</w:t>
            </w:r>
          </w:p>
        </w:tc>
        <w:tc>
          <w:tcPr>
            <w:tcW w:w="993"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lang w:eastAsia="pt-PT"/>
              </w:rPr>
            </w:pPr>
            <w:r>
              <w:rPr>
                <w:rFonts w:eastAsia="Times New Roman" w:cs="Times New Roman" w:ascii="Times New Roman" w:hAnsi="Times New Roman"/>
                <w:lang w:eastAsia="pt-PT"/>
              </w:rPr>
              <w:t>0</w:t>
            </w:r>
          </w:p>
        </w:tc>
      </w:tr>
      <w:tr>
        <w:trPr>
          <w:trHeight w:val="408" w:hRule="atLeast"/>
        </w:trPr>
        <w:tc>
          <w:tcPr>
            <w:tcW w:w="700" w:type="dxa"/>
            <w:tcBorders>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i/>
                <w:i/>
                <w:iCs/>
                <w:lang w:eastAsia="pt-PT"/>
              </w:rPr>
            </w:pPr>
            <w:r>
              <w:rPr>
                <w:rFonts w:eastAsia="Times New Roman" w:cs="Times New Roman" w:ascii="Times New Roman" w:hAnsi="Times New Roman"/>
                <w:i/>
                <w:iCs/>
                <w:lang w:eastAsia="pt-PT"/>
              </w:rPr>
              <w:t> </w:t>
            </w:r>
          </w:p>
        </w:tc>
        <w:tc>
          <w:tcPr>
            <w:tcW w:w="2717" w:type="dxa"/>
            <w:tcBorders>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bCs/>
                <w:lang w:eastAsia="pt-PT"/>
              </w:rPr>
            </w:pPr>
            <w:r>
              <w:rPr>
                <w:rFonts w:eastAsia="Times New Roman" w:cs="Times New Roman" w:ascii="Times New Roman" w:hAnsi="Times New Roman"/>
                <w:b/>
                <w:bCs/>
                <w:lang w:eastAsia="pt-PT"/>
              </w:rPr>
              <w:t xml:space="preserve">      </w:t>
            </w:r>
            <w:r>
              <w:rPr>
                <w:rFonts w:eastAsia="Times New Roman" w:cs="Times New Roman" w:ascii="Times New Roman" w:hAnsi="Times New Roman"/>
                <w:b/>
                <w:bCs/>
                <w:lang w:eastAsia="pt-PT"/>
              </w:rPr>
              <w:t>Total</w:t>
            </w:r>
          </w:p>
        </w:tc>
        <w:tc>
          <w:tcPr>
            <w:tcW w:w="1113"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lang w:eastAsia="pt-PT"/>
              </w:rPr>
            </w:pPr>
            <w:r>
              <w:rPr>
                <w:rFonts w:eastAsia="Times New Roman" w:cs="Times New Roman" w:ascii="Times New Roman" w:hAnsi="Times New Roman"/>
                <w:b/>
                <w:bCs/>
                <w:lang w:eastAsia="pt-PT"/>
              </w:rPr>
              <w:t>1 422</w:t>
            </w:r>
          </w:p>
        </w:tc>
        <w:tc>
          <w:tcPr>
            <w:tcW w:w="993" w:type="dxa"/>
            <w:tcBorders>
              <w:bottom w:val="single" w:sz="4" w:space="0" w:color="000000"/>
              <w:right w:val="single" w:sz="4" w:space="0" w:color="000000"/>
            </w:tcBorders>
            <w:shd w:color="000000" w:fill="BDD7EE" w:val="clear"/>
            <w:vAlign w:val="bottom"/>
          </w:tcPr>
          <w:p>
            <w:pPr>
              <w:pStyle w:val="Normal"/>
              <w:spacing w:lineRule="auto" w:line="240" w:before="0" w:after="0"/>
              <w:jc w:val="right"/>
              <w:rPr>
                <w:rFonts w:ascii="Times New Roman" w:hAnsi="Times New Roman" w:eastAsia="Times New Roman" w:cs="Times New Roman"/>
                <w:b/>
                <w:bCs/>
                <w:lang w:eastAsia="pt-PT"/>
              </w:rPr>
            </w:pPr>
            <w:r>
              <w:rPr>
                <w:rFonts w:eastAsia="Times New Roman" w:cs="Times New Roman" w:ascii="Times New Roman" w:hAnsi="Times New Roman"/>
                <w:b/>
                <w:bCs/>
                <w:lang w:eastAsia="pt-PT"/>
              </w:rPr>
              <w:t>100</w:t>
            </w:r>
          </w:p>
        </w:tc>
      </w:tr>
    </w:tbl>
    <w:p>
      <w:pPr>
        <w:pStyle w:val="Normal"/>
        <w:spacing w:lineRule="auto" w:line="240" w:before="240" w:after="0"/>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lineRule="auto" w:line="240" w:before="240" w:after="0"/>
        <w:jc w:val="both"/>
        <w:rPr>
          <w:rFonts w:ascii="Times New Roman" w:hAnsi="Times New Roman" w:cs="Times New Roman"/>
          <w:color w:val="FF0000"/>
          <w:sz w:val="24"/>
          <w:szCs w:val="24"/>
        </w:rPr>
      </w:pPr>
      <w:r>
        <w:rPr>
          <w:rFonts w:eastAsia="Times New Roman" w:cs="Times New Roman" w:ascii="Times New Roman" w:hAnsi="Times New Roman"/>
          <w:b/>
          <w:bCs/>
          <w:sz w:val="24"/>
          <w:szCs w:val="24"/>
          <w:lang w:val="pt-BR" w:eastAsia="pt-PT"/>
        </w:rPr>
        <w:t xml:space="preserve">Gráfico </w:t>
      </w:r>
      <w:r>
        <w:rPr>
          <w:rFonts w:cs="Times New Roman" w:ascii="Times New Roman" w:hAnsi="Times New Roman"/>
          <w:b/>
          <w:sz w:val="24"/>
          <w:szCs w:val="24"/>
          <w:lang w:val="pt-BR"/>
        </w:rPr>
        <w:t xml:space="preserve">nº </w:t>
      </w:r>
      <w:r>
        <w:rPr>
          <w:rFonts w:eastAsia="Times New Roman" w:cs="Times New Roman" w:ascii="Times New Roman" w:hAnsi="Times New Roman"/>
          <w:b/>
          <w:bCs/>
          <w:sz w:val="24"/>
          <w:szCs w:val="24"/>
          <w:lang w:val="pt-BR" w:eastAsia="pt-PT"/>
        </w:rPr>
        <w:t xml:space="preserve">5. 1 </w:t>
      </w:r>
      <w:r>
        <w:rPr>
          <w:rFonts w:eastAsia="Calibri" w:cs="Times New Roman" w:ascii="Times New Roman" w:hAnsi="Times New Roman"/>
          <w:b/>
          <w:sz w:val="24"/>
          <w:szCs w:val="24"/>
          <w:lang w:val="pt-BR" w:eastAsia="pt-PT"/>
        </w:rPr>
        <w:t xml:space="preserve">Proveniência dos Pacientes por Província </w:t>
      </w:r>
      <w:r>
        <w:rPr>
          <w:rFonts w:eastAsia="Times New Roman" w:cs="Times New Roman" w:ascii="Times New Roman" w:hAnsi="Times New Roman"/>
          <w:b/>
          <w:sz w:val="24"/>
          <w:szCs w:val="24"/>
          <w:lang w:eastAsia="pt-PT"/>
        </w:rPr>
        <w:t>IONA/ Janeiro 2026</w:t>
      </w:r>
    </w:p>
    <w:p>
      <w:pPr>
        <w:pStyle w:val="Normal"/>
        <w:tabs>
          <w:tab w:val="clear" w:pos="708"/>
          <w:tab w:val="left" w:pos="1027" w:leader="none"/>
        </w:tabs>
        <w:spacing w:lineRule="auto" w:line="240" w:before="0" w:after="0"/>
        <w:jc w:val="both"/>
        <w:rPr>
          <w:rFonts w:ascii="Times New Roman" w:hAnsi="Times New Roman" w:eastAsia="Calibri" w:cs="Times New Roman"/>
          <w:b/>
          <w:color w:val="FF0000"/>
          <w:sz w:val="24"/>
          <w:szCs w:val="24"/>
          <w:lang w:val="pt-BR" w:eastAsia="pt-PT"/>
        </w:rPr>
      </w:pPr>
      <w:r>
        <w:rPr>
          <w:rFonts w:eastAsia="Calibri" w:cs="Times New Roman" w:ascii="Times New Roman" w:hAnsi="Times New Roman"/>
          <w:b/>
          <w:color w:val="FF0000"/>
          <w:sz w:val="24"/>
          <w:szCs w:val="24"/>
          <w:lang w:val="pt-BR" w:eastAsia="pt-PT"/>
        </w:rPr>
      </w:r>
    </w:p>
    <w:p>
      <w:pPr>
        <w:pStyle w:val="Normal"/>
        <w:spacing w:lineRule="auto" w:line="240" w:before="240" w:after="0"/>
        <w:jc w:val="center"/>
        <w:rPr>
          <w:rFonts w:ascii="Times New Roman" w:hAnsi="Times New Roman" w:eastAsia="Times New Roman" w:cs="Times New Roman"/>
          <w:b/>
          <w:bCs/>
          <w:sz w:val="24"/>
          <w:szCs w:val="24"/>
          <w:lang w:eastAsia="pt-PT"/>
        </w:rPr>
      </w:pPr>
      <w:r>
        <w:rPr/>
        <w:drawing>
          <wp:inline distT="0" distB="0" distL="0" distR="0">
            <wp:extent cx="4772025" cy="2200275"/>
            <wp:effectExtent l="0" t="0" r="0" b="0"/>
            <wp:docPr id="9" name="Gráfico 13"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pPr>
        <w:pStyle w:val="Normal"/>
        <w:spacing w:before="0" w:after="0"/>
        <w:contextualSpacing/>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before="0" w:after="0"/>
        <w:contextualSpacing/>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before="0" w:after="0"/>
        <w:contextualSpacing/>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before="0" w:after="0"/>
        <w:contextualSpacing/>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before="0" w:after="0"/>
        <w:contextualSpacing/>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beforeAutospacing="1" w:afterAutospacing="1"/>
        <w:rPr>
          <w:rFonts w:ascii="Times New Roman" w:hAnsi="Times New Roman" w:eastAsia="Times New Roman" w:cs="Times New Roman"/>
          <w:b/>
          <w:bCs/>
          <w:sz w:val="28"/>
          <w:szCs w:val="28"/>
          <w:u w:val="single"/>
          <w:lang w:val="pt-BR" w:eastAsia="pt-PT"/>
        </w:rPr>
      </w:pPr>
      <w:r>
        <w:rPr>
          <w:rFonts w:eastAsia="Times New Roman" w:cs="Times New Roman" w:ascii="Times New Roman" w:hAnsi="Times New Roman"/>
          <w:b/>
          <w:bCs/>
          <w:sz w:val="28"/>
          <w:szCs w:val="28"/>
          <w:u w:val="single"/>
          <w:lang w:val="pt-BR" w:eastAsia="pt-PT"/>
        </w:rPr>
        <w:t>CONSULTAS DE MEDICINA INTERNA</w:t>
      </w:r>
    </w:p>
    <w:p>
      <w:pPr>
        <w:pStyle w:val="Normal"/>
        <w:spacing w:lineRule="auto" w:line="240" w:before="0" w:after="0"/>
        <w:rPr>
          <w:rFonts w:ascii="Times New Roman" w:hAnsi="Times New Roman" w:eastAsia="Times New Roman" w:cs="Times New Roman"/>
          <w:sz w:val="1"/>
          <w:szCs w:val="20"/>
          <w:lang w:val="pt-BR" w:eastAsia="pt-PT"/>
        </w:rPr>
      </w:pPr>
      <w:r>
        <w:rPr>
          <w:rFonts w:eastAsia="Times New Roman" w:cs="Times New Roman" w:ascii="Times New Roman" w:hAnsi="Times New Roman"/>
          <w:sz w:val="1"/>
          <w:szCs w:val="20"/>
          <w:lang w:val="pt-BR" w:eastAsia="pt-PT"/>
        </w:rPr>
      </w:r>
    </w:p>
    <w:p>
      <w:pPr>
        <w:pStyle w:val="Normal"/>
        <w:spacing w:beforeAutospacing="1" w:afterAutospacing="1"/>
        <w:rPr>
          <w:rFonts w:ascii="Times New Roman" w:hAnsi="Times New Roman" w:eastAsia="Calibri" w:cs="Times New Roman"/>
          <w:b/>
          <w:bCs/>
          <w:sz w:val="24"/>
          <w:szCs w:val="24"/>
          <w:lang w:eastAsia="pt-PT"/>
        </w:rPr>
      </w:pPr>
      <w:r>
        <w:rPr>
          <w:rFonts w:eastAsia="Times New Roman" w:cs="Times New Roman" w:ascii="Times New Roman" w:hAnsi="Times New Roman"/>
          <w:b/>
          <w:bCs/>
          <w:sz w:val="24"/>
          <w:szCs w:val="24"/>
          <w:lang w:val="pt-BR" w:eastAsia="pt-PT"/>
        </w:rPr>
        <w:t xml:space="preserve">Tabela nº 8. Consultas de Medicina Interna </w:t>
      </w:r>
      <w:r>
        <w:rPr>
          <w:rFonts w:eastAsia="Times New Roman" w:cs="Times New Roman" w:ascii="Times New Roman" w:hAnsi="Times New Roman"/>
          <w:b/>
          <w:bCs/>
          <w:sz w:val="24"/>
          <w:szCs w:val="24"/>
          <w:lang w:eastAsia="pt-PT"/>
        </w:rPr>
        <w:t xml:space="preserve">IONA / Janeiro 2026 </w:t>
      </w:r>
    </w:p>
    <w:p>
      <w:pPr>
        <w:pStyle w:val="Normal"/>
        <w:spacing w:before="0" w:after="0"/>
        <w:jc w:val="both"/>
        <w:rPr>
          <w:rFonts w:ascii="Times New Roman" w:hAnsi="Times New Roman" w:cs="Times New Roman"/>
          <w:bCs/>
          <w:sz w:val="24"/>
          <w:szCs w:val="24"/>
        </w:rPr>
      </w:pPr>
      <w:r>
        <w:rPr>
          <w:rFonts w:cs="Times New Roman" w:ascii="Times New Roman" w:hAnsi="Times New Roman"/>
          <w:bCs/>
          <w:sz w:val="24"/>
          <w:szCs w:val="24"/>
        </w:rPr>
        <w:t xml:space="preserve">Foram observados em consulta de Medicina Interna  </w:t>
      </w:r>
      <w:r>
        <w:rPr>
          <w:rFonts w:eastAsia="Times New Roman" w:cs="Times New Roman" w:ascii="Times New Roman" w:hAnsi="Times New Roman"/>
          <w:b/>
          <w:bCs/>
          <w:sz w:val="24"/>
          <w:szCs w:val="24"/>
          <w:lang w:val="pt-BR" w:eastAsia="pt-PT"/>
        </w:rPr>
        <w:t xml:space="preserve">491  </w:t>
      </w:r>
      <w:r>
        <w:rPr>
          <w:rFonts w:cs="Times New Roman" w:ascii="Times New Roman" w:hAnsi="Times New Roman"/>
          <w:bCs/>
          <w:sz w:val="24"/>
          <w:szCs w:val="24"/>
        </w:rPr>
        <w:t>pacientes.</w:t>
      </w:r>
    </w:p>
    <w:p>
      <w:pPr>
        <w:pStyle w:val="Normal"/>
        <w:spacing w:before="0" w:after="0"/>
        <w:rPr>
          <w:rFonts w:ascii="Times New Roman" w:hAnsi="Times New Roman" w:cs="Times New Roman"/>
          <w:color w:val="FF0000"/>
          <w:sz w:val="24"/>
          <w:szCs w:val="24"/>
        </w:rPr>
      </w:pPr>
      <w:r>
        <w:rPr>
          <w:rFonts w:cs="Times New Roman" w:ascii="Times New Roman" w:hAnsi="Times New Roman"/>
          <w:color w:val="FF0000"/>
          <w:sz w:val="24"/>
          <w:szCs w:val="24"/>
        </w:rPr>
      </w:r>
    </w:p>
    <w:tbl>
      <w:tblPr>
        <w:tblW w:w="7040" w:type="dxa"/>
        <w:jc w:val="left"/>
        <w:tblInd w:w="411" w:type="dxa"/>
        <w:tblLayout w:type="fixed"/>
        <w:tblCellMar>
          <w:top w:w="0" w:type="dxa"/>
          <w:left w:w="30" w:type="dxa"/>
          <w:bottom w:w="0" w:type="dxa"/>
          <w:right w:w="30" w:type="dxa"/>
        </w:tblCellMar>
        <w:tblLook w:val="04a0" w:noHBand="0" w:noVBand="1" w:firstColumn="1" w:lastRow="0" w:lastColumn="0" w:firstRow="1"/>
      </w:tblPr>
      <w:tblGrid>
        <w:gridCol w:w="5044"/>
        <w:gridCol w:w="1995"/>
      </w:tblGrid>
      <w:tr>
        <w:trPr>
          <w:trHeight w:val="1217" w:hRule="atLeast"/>
        </w:trPr>
        <w:tc>
          <w:tcPr>
            <w:tcW w:w="5044"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before="200" w:after="0"/>
              <w:jc w:val="center"/>
              <w:outlineLvl w:val="2"/>
              <w:rPr>
                <w:rFonts w:ascii="Times New Roman" w:hAnsi="Times New Roman" w:eastAsia="Times New Roman" w:cs="Times New Roman"/>
                <w:b/>
                <w:bCs/>
                <w:lang w:eastAsia="pt-PT"/>
              </w:rPr>
            </w:pPr>
            <w:r>
              <w:rPr>
                <w:rFonts w:eastAsia="Times New Roman" w:cs="Times New Roman" w:ascii="Times New Roman" w:hAnsi="Times New Roman"/>
                <w:b/>
                <w:bCs/>
                <w:lang w:eastAsia="pt-PT"/>
              </w:rPr>
              <w:t>Medicina Interna</w:t>
            </w:r>
          </w:p>
        </w:tc>
        <w:tc>
          <w:tcPr>
            <w:tcW w:w="1995"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before="200" w:after="0"/>
              <w:jc w:val="center"/>
              <w:outlineLvl w:val="2"/>
              <w:rPr>
                <w:rFonts w:ascii="Times New Roman" w:hAnsi="Times New Roman" w:eastAsia="Times New Roman" w:cs="Times New Roman"/>
                <w:b/>
                <w:bCs/>
                <w:lang w:eastAsia="pt-PT"/>
              </w:rPr>
            </w:pPr>
            <w:r>
              <w:rPr>
                <w:rFonts w:eastAsia="Times New Roman" w:cs="Times New Roman" w:ascii="Times New Roman" w:hAnsi="Times New Roman"/>
                <w:b/>
                <w:bCs/>
                <w:lang w:eastAsia="pt-PT"/>
              </w:rPr>
              <w:t>TOTAL</w:t>
            </w:r>
          </w:p>
        </w:tc>
      </w:tr>
      <w:tr>
        <w:trPr>
          <w:trHeight w:val="1046" w:hRule="exact"/>
        </w:trPr>
        <w:tc>
          <w:tcPr>
            <w:tcW w:w="5044"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keepNext w:val="true"/>
              <w:keepLines/>
              <w:numPr>
                <w:ilvl w:val="0"/>
                <w:numId w:val="0"/>
              </w:numPr>
              <w:tabs>
                <w:tab w:val="clear" w:pos="708"/>
                <w:tab w:val="left" w:pos="284" w:leader="none"/>
              </w:tabs>
              <w:spacing w:before="200" w:after="0"/>
              <w:outlineLvl w:val="2"/>
              <w:rPr>
                <w:rFonts w:ascii="Times New Roman" w:hAnsi="Times New Roman" w:eastAsia="Times New Roman" w:cs="Times New Roman"/>
                <w:lang w:eastAsia="pt-PT"/>
              </w:rPr>
            </w:pPr>
            <w:r>
              <w:rPr>
                <w:rFonts w:eastAsia="Times New Roman" w:cs="Times New Roman" w:ascii="Times New Roman" w:hAnsi="Times New Roman"/>
                <w:b/>
                <w:lang w:eastAsia="pt-PT"/>
              </w:rPr>
              <w:t xml:space="preserve">                              </w:t>
            </w:r>
            <w:r>
              <w:rPr>
                <w:rFonts w:eastAsia="Times New Roman" w:cs="Times New Roman" w:ascii="Times New Roman" w:hAnsi="Times New Roman"/>
                <w:lang w:eastAsia="pt-PT"/>
              </w:rPr>
              <w:t>Pacientes Observados</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rFonts w:ascii="Times New Roman" w:hAnsi="Times New Roman" w:cs="Times New Roman"/>
              </w:rPr>
            </w:pPr>
            <w:r>
              <w:rPr>
                <w:rFonts w:cs="Times New Roman" w:ascii="Times New Roman" w:hAnsi="Times New Roman"/>
              </w:rPr>
              <w:t>491</w:t>
            </w:r>
          </w:p>
        </w:tc>
      </w:tr>
    </w:tbl>
    <w:p>
      <w:pPr>
        <w:pStyle w:val="Normal"/>
        <w:tabs>
          <w:tab w:val="clear" w:pos="708"/>
          <w:tab w:val="left" w:pos="5700" w:leader="none"/>
        </w:tabs>
        <w:spacing w:before="0" w:after="0"/>
        <w:rPr>
          <w:rFonts w:ascii="Times New Roman" w:hAnsi="Times New Roman" w:cs="Times New Roman"/>
          <w:bCs/>
          <w:color w:val="FF0000"/>
          <w:sz w:val="24"/>
          <w:szCs w:val="24"/>
          <w:lang w:val="pt-BR"/>
        </w:rPr>
      </w:pPr>
      <w:r>
        <w:rPr>
          <w:rFonts w:cs="Times New Roman" w:ascii="Times New Roman" w:hAnsi="Times New Roman"/>
          <w:bCs/>
          <w:color w:val="FF0000"/>
          <w:sz w:val="24"/>
          <w:szCs w:val="24"/>
        </w:rPr>
        <w:tab/>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t>Tabela  nº 8.1. Pacientes observados por   Idade e Sexo IONA /</w:t>
      </w:r>
      <w:r>
        <w:rPr>
          <w:rFonts w:eastAsia="Times New Roman" w:cs="Times New Roman" w:ascii="Times New Roman" w:hAnsi="Times New Roman"/>
          <w:b/>
          <w:sz w:val="24"/>
          <w:szCs w:val="24"/>
          <w:lang w:eastAsia="pt-PT"/>
        </w:rPr>
        <w:t xml:space="preserve"> Janeiro  </w:t>
      </w:r>
      <w:r>
        <w:rPr>
          <w:rFonts w:cs="Times New Roman" w:ascii="Times New Roman" w:hAnsi="Times New Roman"/>
          <w:b/>
          <w:bCs/>
          <w:sz w:val="24"/>
          <w:szCs w:val="24"/>
          <w:lang w:val="pt-BR"/>
        </w:rPr>
        <w:t>2026</w:t>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t xml:space="preserve">O grupo etário mais atendido foi o dos 45-64 anos, com 49% (241) dos casos, seguido pelo grupo acima de 65 anos, com 33% (160). Em relação ao sexo, existe um predomínio ligeiro do sexo Feminino com 59%. </w:t>
      </w:r>
    </w:p>
    <w:tbl>
      <w:tblPr>
        <w:tblpPr w:vertAnchor="text" w:horzAnchor="page" w:leftFromText="180" w:rightFromText="180" w:tblpX="2134" w:tblpY="525"/>
        <w:tblOverlap w:val="never"/>
        <w:tblW w:w="6998" w:type="dxa"/>
        <w:jc w:val="left"/>
        <w:tblInd w:w="-10" w:type="dxa"/>
        <w:tblLayout w:type="fixed"/>
        <w:tblCellMar>
          <w:top w:w="0" w:type="dxa"/>
          <w:left w:w="70" w:type="dxa"/>
          <w:bottom w:w="0" w:type="dxa"/>
          <w:right w:w="70" w:type="dxa"/>
        </w:tblCellMar>
        <w:tblLook w:val="04a0" w:noHBand="0" w:noVBand="1" w:firstColumn="1" w:lastRow="0" w:lastColumn="0" w:firstRow="1"/>
      </w:tblPr>
      <w:tblGrid>
        <w:gridCol w:w="4223"/>
        <w:gridCol w:w="1387"/>
        <w:gridCol w:w="1388"/>
      </w:tblGrid>
      <w:tr>
        <w:trPr>
          <w:trHeight w:val="548" w:hRule="atLeast"/>
        </w:trPr>
        <w:tc>
          <w:tcPr>
            <w:tcW w:w="4223" w:type="dxa"/>
            <w:tcBorders>
              <w:top w:val="single" w:sz="8" w:space="0" w:color="000000"/>
              <w:left w:val="single" w:sz="8" w:space="0" w:color="000000"/>
              <w:bottom w:val="single" w:sz="8" w:space="0" w:color="000000"/>
              <w:right w:val="single" w:sz="8" w:space="0" w:color="000000"/>
            </w:tcBorders>
            <w:shd w:color="000000" w:fill="BDD7EE" w:val="clear"/>
            <w:vAlign w:val="center"/>
          </w:tcPr>
          <w:p>
            <w:pPr>
              <w:pStyle w:val="Normal"/>
              <w:spacing w:lineRule="auto" w:line="240" w:before="0" w:after="0"/>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Faixa etária + Frequentes</w:t>
            </w:r>
          </w:p>
        </w:tc>
        <w:tc>
          <w:tcPr>
            <w:tcW w:w="1387" w:type="dxa"/>
            <w:tcBorders>
              <w:top w:val="single" w:sz="8" w:space="0" w:color="000000"/>
              <w:bottom w:val="single" w:sz="8" w:space="0" w:color="000000"/>
              <w:right w:val="single" w:sz="8" w:space="0" w:color="000000"/>
            </w:tcBorders>
            <w:shd w:color="000000" w:fill="BDD7EE" w:val="clear"/>
            <w:vAlign w:val="center"/>
          </w:tcPr>
          <w:p>
            <w:pPr>
              <w:pStyle w:val="Normal"/>
              <w:spacing w:lineRule="auto" w:line="240" w:before="0" w:after="0"/>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Total</w:t>
            </w:r>
          </w:p>
        </w:tc>
        <w:tc>
          <w:tcPr>
            <w:tcW w:w="1388" w:type="dxa"/>
            <w:tcBorders>
              <w:top w:val="single" w:sz="8" w:space="0" w:color="000000"/>
              <w:bottom w:val="single" w:sz="8" w:space="0" w:color="000000"/>
              <w:right w:val="single" w:sz="8"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w:t>
            </w:r>
          </w:p>
        </w:tc>
      </w:tr>
      <w:tr>
        <w:trPr>
          <w:trHeight w:val="548" w:hRule="atLeast"/>
        </w:trPr>
        <w:tc>
          <w:tcPr>
            <w:tcW w:w="4223" w:type="dxa"/>
            <w:tcBorders>
              <w:left w:val="single" w:sz="8" w:space="0" w:color="000000"/>
              <w:bottom w:val="single" w:sz="8" w:space="0" w:color="000000"/>
              <w:right w:val="single" w:sz="8" w:space="0" w:color="000000"/>
            </w:tcBorders>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45-64 A</w:t>
            </w:r>
          </w:p>
        </w:tc>
        <w:tc>
          <w:tcPr>
            <w:tcW w:w="1387" w:type="dxa"/>
            <w:tcBorders>
              <w:bottom w:val="single" w:sz="8" w:space="0" w:color="000000"/>
              <w:right w:val="single" w:sz="8"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241</w:t>
            </w:r>
          </w:p>
        </w:tc>
        <w:tc>
          <w:tcPr>
            <w:tcW w:w="1388" w:type="dxa"/>
            <w:tcBorders>
              <w:bottom w:val="single" w:sz="8" w:space="0" w:color="000000"/>
              <w:right w:val="single" w:sz="8"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 </w:t>
            </w:r>
            <w:r>
              <w:rPr>
                <w:rFonts w:eastAsia="Times New Roman" w:cs="Times New Roman" w:ascii="Times New Roman" w:hAnsi="Times New Roman"/>
                <w:color w:val="000000"/>
                <w:lang w:eastAsia="pt-PT"/>
              </w:rPr>
              <w:t>49</w:t>
            </w:r>
          </w:p>
        </w:tc>
      </w:tr>
      <w:tr>
        <w:trPr>
          <w:trHeight w:val="548" w:hRule="atLeast"/>
        </w:trPr>
        <w:tc>
          <w:tcPr>
            <w:tcW w:w="4223" w:type="dxa"/>
            <w:tcBorders>
              <w:left w:val="single" w:sz="8" w:space="0" w:color="000000"/>
              <w:bottom w:val="single" w:sz="8" w:space="0" w:color="000000"/>
              <w:right w:val="single" w:sz="8" w:space="0" w:color="000000"/>
            </w:tcBorders>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65A +</w:t>
            </w:r>
          </w:p>
        </w:tc>
        <w:tc>
          <w:tcPr>
            <w:tcW w:w="1387" w:type="dxa"/>
            <w:tcBorders>
              <w:bottom w:val="single" w:sz="8" w:space="0" w:color="000000"/>
              <w:right w:val="single" w:sz="8"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160</w:t>
            </w:r>
          </w:p>
        </w:tc>
        <w:tc>
          <w:tcPr>
            <w:tcW w:w="1388" w:type="dxa"/>
            <w:tcBorders>
              <w:bottom w:val="single" w:sz="8" w:space="0" w:color="000000"/>
              <w:right w:val="single" w:sz="8"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 </w:t>
            </w:r>
            <w:r>
              <w:rPr>
                <w:rFonts w:eastAsia="Times New Roman" w:cs="Times New Roman" w:ascii="Times New Roman" w:hAnsi="Times New Roman"/>
                <w:color w:val="000000"/>
                <w:lang w:eastAsia="pt-PT"/>
              </w:rPr>
              <w:t>33</w:t>
            </w:r>
          </w:p>
        </w:tc>
      </w:tr>
      <w:tr>
        <w:trPr>
          <w:trHeight w:val="548" w:hRule="atLeast"/>
        </w:trPr>
        <w:tc>
          <w:tcPr>
            <w:tcW w:w="4223" w:type="dxa"/>
            <w:tcBorders>
              <w:left w:val="single" w:sz="8" w:space="0" w:color="000000"/>
              <w:bottom w:val="single" w:sz="8" w:space="0" w:color="000000"/>
              <w:right w:val="single" w:sz="8" w:space="0" w:color="000000"/>
            </w:tcBorders>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Outros</w:t>
            </w:r>
          </w:p>
        </w:tc>
        <w:tc>
          <w:tcPr>
            <w:tcW w:w="1387" w:type="dxa"/>
            <w:tcBorders>
              <w:bottom w:val="single" w:sz="8" w:space="0" w:color="000000"/>
              <w:right w:val="single" w:sz="8"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90</w:t>
            </w:r>
          </w:p>
        </w:tc>
        <w:tc>
          <w:tcPr>
            <w:tcW w:w="1388" w:type="dxa"/>
            <w:tcBorders>
              <w:bottom w:val="single" w:sz="8" w:space="0" w:color="000000"/>
              <w:right w:val="single" w:sz="8"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 </w:t>
            </w:r>
            <w:r>
              <w:rPr>
                <w:rFonts w:eastAsia="Times New Roman" w:cs="Times New Roman" w:ascii="Times New Roman" w:hAnsi="Times New Roman"/>
                <w:color w:val="000000"/>
                <w:lang w:eastAsia="pt-PT"/>
              </w:rPr>
              <w:t>18</w:t>
            </w:r>
          </w:p>
        </w:tc>
      </w:tr>
      <w:tr>
        <w:trPr>
          <w:trHeight w:val="571" w:hRule="atLeast"/>
        </w:trPr>
        <w:tc>
          <w:tcPr>
            <w:tcW w:w="4223" w:type="dxa"/>
            <w:tcBorders>
              <w:left w:val="single" w:sz="8" w:space="0" w:color="000000"/>
              <w:bottom w:val="single" w:sz="8" w:space="0" w:color="000000"/>
              <w:right w:val="single" w:sz="8" w:space="0" w:color="000000"/>
            </w:tcBorders>
            <w:shd w:color="000000" w:fill="BDD7EE" w:val="clear"/>
            <w:vAlign w:val="center"/>
          </w:tcPr>
          <w:p>
            <w:pPr>
              <w:pStyle w:val="Normal"/>
              <w:spacing w:lineRule="auto" w:line="240" w:before="0" w:after="0"/>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Total</w:t>
            </w:r>
          </w:p>
        </w:tc>
        <w:tc>
          <w:tcPr>
            <w:tcW w:w="1387" w:type="dxa"/>
            <w:tcBorders>
              <w:bottom w:val="single" w:sz="8" w:space="0" w:color="000000"/>
              <w:right w:val="single" w:sz="8"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491</w:t>
            </w:r>
          </w:p>
        </w:tc>
        <w:tc>
          <w:tcPr>
            <w:tcW w:w="1388" w:type="dxa"/>
            <w:tcBorders>
              <w:bottom w:val="single" w:sz="8" w:space="0" w:color="000000"/>
              <w:right w:val="single" w:sz="8"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100</w:t>
            </w:r>
          </w:p>
        </w:tc>
      </w:tr>
    </w:tbl>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t>Tabela  nº 8.2. Pacientes observados por  Grupos Etários  IONA /</w:t>
      </w:r>
      <w:r>
        <w:rPr>
          <w:rFonts w:eastAsia="Times New Roman" w:cs="Times New Roman" w:ascii="Times New Roman" w:hAnsi="Times New Roman"/>
          <w:b/>
          <w:sz w:val="24"/>
          <w:szCs w:val="24"/>
          <w:lang w:eastAsia="pt-PT"/>
        </w:rPr>
        <w:t xml:space="preserve"> Janeiro </w:t>
      </w:r>
      <w:r>
        <w:rPr>
          <w:rFonts w:cs="Times New Roman" w:ascii="Times New Roman" w:hAnsi="Times New Roman"/>
          <w:b/>
          <w:bCs/>
          <w:sz w:val="24"/>
          <w:szCs w:val="24"/>
          <w:lang w:val="pt-BR"/>
        </w:rPr>
        <w:t>2025</w:t>
      </w:r>
    </w:p>
    <w:p>
      <w:pPr>
        <w:pStyle w:val="Normal"/>
        <w:spacing w:before="0" w:after="0"/>
        <w:jc w:val="both"/>
        <w:rPr>
          <w:rFonts w:ascii="Times New Roman" w:hAnsi="Times New Roman" w:cs="Times New Roman"/>
          <w:b/>
          <w:bCs/>
          <w:color w:val="FF0000"/>
          <w:sz w:val="24"/>
          <w:szCs w:val="24"/>
          <w:lang w:val="pt-BR"/>
        </w:rPr>
      </w:pPr>
      <w:r>
        <w:rPr>
          <w:rFonts w:cs="Times New Roman" w:ascii="Times New Roman" w:hAnsi="Times New Roman"/>
          <w:b/>
          <w:bCs/>
          <w:color w:val="FF0000"/>
          <w:sz w:val="24"/>
          <w:szCs w:val="24"/>
          <w:lang w:val="pt-BR"/>
        </w:rPr>
      </w:r>
    </w:p>
    <w:p>
      <w:pPr>
        <w:pStyle w:val="Normal"/>
        <w:tabs>
          <w:tab w:val="clear" w:pos="708"/>
          <w:tab w:val="left" w:pos="1027" w:leader="none"/>
        </w:tabs>
        <w:spacing w:before="0" w:after="0"/>
        <w:rPr>
          <w:rFonts w:ascii="Times New Roman" w:hAnsi="Times New Roman" w:cs="Times New Roman"/>
          <w:bCs/>
          <w:sz w:val="24"/>
          <w:szCs w:val="24"/>
          <w:lang w:val="pt-BR"/>
        </w:rPr>
      </w:pPr>
      <w:r>
        <w:rPr>
          <w:rFonts w:cs="Times New Roman" w:ascii="Times New Roman" w:hAnsi="Times New Roman"/>
          <w:bCs/>
          <w:sz w:val="24"/>
          <w:szCs w:val="24"/>
          <w:lang w:val="pt-BR"/>
        </w:rPr>
        <w:t xml:space="preserve">O grupo etário mais atendido foi o dos 45-64 anos com 49% (241) dos casos, seguido pelo o grupo acima de 65 anos com 33% (160) dos casos. </w:t>
      </w:r>
    </w:p>
    <w:p>
      <w:pPr>
        <w:pStyle w:val="Normal"/>
        <w:tabs>
          <w:tab w:val="clear" w:pos="708"/>
          <w:tab w:val="left" w:pos="1027" w:leader="none"/>
        </w:tabs>
        <w:spacing w:before="0" w:after="0"/>
        <w:rPr>
          <w:rFonts w:ascii="Times New Roman" w:hAnsi="Times New Roman" w:cs="Times New Roman"/>
          <w:bCs/>
          <w:color w:val="FF0000"/>
          <w:sz w:val="24"/>
          <w:szCs w:val="24"/>
          <w:lang w:val="pt-BR"/>
        </w:rPr>
      </w:pPr>
      <w:r>
        <w:rPr>
          <w:rFonts w:cs="Times New Roman" w:ascii="Times New Roman" w:hAnsi="Times New Roman"/>
          <w:bCs/>
          <w:color w:val="FF0000"/>
          <w:sz w:val="24"/>
          <w:szCs w:val="24"/>
          <w:lang w:val="pt-BR"/>
        </w:rPr>
      </w:r>
    </w:p>
    <w:tbl>
      <w:tblPr>
        <w:tblpPr w:vertAnchor="page" w:horzAnchor="page" w:bottomFromText="160" w:leftFromText="141" w:rightFromText="141" w:tblpX="2622" w:tblpY="3461"/>
        <w:tblW w:w="4498"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545"/>
        <w:gridCol w:w="699"/>
        <w:gridCol w:w="2254"/>
      </w:tblGrid>
      <w:tr>
        <w:trPr>
          <w:trHeight w:val="624" w:hRule="exact"/>
        </w:trPr>
        <w:tc>
          <w:tcPr>
            <w:tcW w:w="2244" w:type="dxa"/>
            <w:gridSpan w:val="2"/>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b/>
              </w:rPr>
            </w:pPr>
            <w:r>
              <w:rPr>
                <w:rFonts w:cs="Times New Roman" w:ascii="Times New Roman" w:hAnsi="Times New Roman"/>
                <w:b/>
              </w:rPr>
              <w:t>Idade/ Sexo</w:t>
            </w:r>
          </w:p>
        </w:tc>
        <w:tc>
          <w:tcPr>
            <w:tcW w:w="2254"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b/>
              </w:rPr>
            </w:pPr>
            <w:r>
              <w:rPr>
                <w:rFonts w:cs="Times New Roman" w:ascii="Times New Roman" w:hAnsi="Times New Roman"/>
                <w:b/>
              </w:rPr>
              <w:t xml:space="preserve">Pacientes  </w:t>
            </w:r>
          </w:p>
        </w:tc>
      </w:tr>
      <w:tr>
        <w:trPr>
          <w:trHeight w:val="434" w:hRule="exact"/>
        </w:trPr>
        <w:tc>
          <w:tcPr>
            <w:tcW w:w="1545"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18-30 A</w:t>
            </w:r>
          </w:p>
        </w:tc>
        <w:tc>
          <w:tcPr>
            <w:tcW w:w="69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M</w:t>
            </w:r>
          </w:p>
        </w:tc>
        <w:tc>
          <w:tcPr>
            <w:tcW w:w="2254" w:type="dxa"/>
            <w:tcBorders>
              <w:top w:val="single" w:sz="4" w:space="0" w:color="000000"/>
              <w:left w:val="single" w:sz="4" w:space="0" w:color="000000"/>
              <w:bottom w:val="single" w:sz="4" w:space="0" w:color="000000"/>
              <w:right w:val="single" w:sz="4" w:space="0" w:color="000000"/>
            </w:tcBorders>
          </w:tcPr>
          <w:p>
            <w:pPr>
              <w:pStyle w:val="Normal"/>
              <w:spacing w:before="0" w:after="20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11</w:t>
            </w:r>
          </w:p>
        </w:tc>
      </w:tr>
      <w:tr>
        <w:trPr>
          <w:trHeight w:val="434" w:hRule="exact"/>
        </w:trPr>
        <w:tc>
          <w:tcPr>
            <w:tcW w:w="1545" w:type="dxa"/>
            <w:vMerge w:val="continue"/>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0"/>
              <w:rPr>
                <w:rFonts w:ascii="Times New Roman" w:hAnsi="Times New Roman" w:cs="Times New Roman"/>
                <w:lang w:val="pt-BR"/>
              </w:rPr>
            </w:pPr>
            <w:r>
              <w:rPr>
                <w:rFonts w:cs="Times New Roman" w:ascii="Times New Roman" w:hAnsi="Times New Roman"/>
                <w:lang w:val="pt-BR"/>
              </w:rPr>
            </w:r>
          </w:p>
        </w:tc>
        <w:tc>
          <w:tcPr>
            <w:tcW w:w="69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F</w:t>
            </w:r>
          </w:p>
        </w:tc>
        <w:tc>
          <w:tcPr>
            <w:tcW w:w="2254" w:type="dxa"/>
            <w:tcBorders>
              <w:top w:val="single" w:sz="4" w:space="0" w:color="000000"/>
              <w:left w:val="single" w:sz="4" w:space="0" w:color="000000"/>
              <w:bottom w:val="single" w:sz="4" w:space="0" w:color="000000"/>
              <w:right w:val="single" w:sz="4" w:space="0" w:color="000000"/>
            </w:tcBorders>
          </w:tcPr>
          <w:p>
            <w:pPr>
              <w:pStyle w:val="Normal"/>
              <w:spacing w:before="0" w:after="20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19</w:t>
            </w:r>
          </w:p>
        </w:tc>
      </w:tr>
      <w:tr>
        <w:trPr>
          <w:trHeight w:val="434" w:hRule="exact"/>
        </w:trPr>
        <w:tc>
          <w:tcPr>
            <w:tcW w:w="1545"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31-44 A</w:t>
            </w:r>
          </w:p>
        </w:tc>
        <w:tc>
          <w:tcPr>
            <w:tcW w:w="69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M</w:t>
            </w:r>
          </w:p>
        </w:tc>
        <w:tc>
          <w:tcPr>
            <w:tcW w:w="225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rFonts w:ascii="Times New Roman" w:hAnsi="Times New Roman" w:cs="Times New Roman"/>
              </w:rPr>
            </w:pPr>
            <w:r>
              <w:rPr>
                <w:rFonts w:cs="Times New Roman" w:ascii="Times New Roman" w:hAnsi="Times New Roman"/>
              </w:rPr>
              <w:t>27</w:t>
            </w:r>
          </w:p>
        </w:tc>
      </w:tr>
      <w:tr>
        <w:trPr>
          <w:trHeight w:val="434" w:hRule="exact"/>
        </w:trPr>
        <w:tc>
          <w:tcPr>
            <w:tcW w:w="1545" w:type="dxa"/>
            <w:vMerge w:val="continue"/>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0"/>
              <w:rPr>
                <w:rFonts w:ascii="Times New Roman" w:hAnsi="Times New Roman" w:cs="Times New Roman"/>
                <w:lang w:val="pt-BR"/>
              </w:rPr>
            </w:pPr>
            <w:r>
              <w:rPr>
                <w:rFonts w:cs="Times New Roman" w:ascii="Times New Roman" w:hAnsi="Times New Roman"/>
                <w:lang w:val="pt-BR"/>
              </w:rPr>
            </w:r>
          </w:p>
        </w:tc>
        <w:tc>
          <w:tcPr>
            <w:tcW w:w="69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F</w:t>
            </w:r>
          </w:p>
        </w:tc>
        <w:tc>
          <w:tcPr>
            <w:tcW w:w="225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rFonts w:ascii="Times New Roman" w:hAnsi="Times New Roman" w:cs="Times New Roman"/>
              </w:rPr>
            </w:pPr>
            <w:r>
              <w:rPr>
                <w:rFonts w:cs="Times New Roman" w:ascii="Times New Roman" w:hAnsi="Times New Roman"/>
              </w:rPr>
              <w:t>33</w:t>
            </w:r>
          </w:p>
        </w:tc>
      </w:tr>
      <w:tr>
        <w:trPr>
          <w:trHeight w:val="434" w:hRule="exact"/>
        </w:trPr>
        <w:tc>
          <w:tcPr>
            <w:tcW w:w="1545"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45-64 A</w:t>
            </w:r>
          </w:p>
        </w:tc>
        <w:tc>
          <w:tcPr>
            <w:tcW w:w="69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M</w:t>
            </w:r>
          </w:p>
        </w:tc>
        <w:tc>
          <w:tcPr>
            <w:tcW w:w="225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rFonts w:ascii="Times New Roman" w:hAnsi="Times New Roman" w:cs="Times New Roman"/>
              </w:rPr>
            </w:pPr>
            <w:r>
              <w:rPr>
                <w:rFonts w:cs="Times New Roman" w:ascii="Times New Roman" w:hAnsi="Times New Roman"/>
              </w:rPr>
              <w:t>108</w:t>
            </w:r>
          </w:p>
        </w:tc>
      </w:tr>
      <w:tr>
        <w:trPr>
          <w:trHeight w:val="434" w:hRule="exact"/>
        </w:trPr>
        <w:tc>
          <w:tcPr>
            <w:tcW w:w="1545" w:type="dxa"/>
            <w:vMerge w:val="continue"/>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0"/>
              <w:rPr>
                <w:rFonts w:ascii="Times New Roman" w:hAnsi="Times New Roman" w:cs="Times New Roman"/>
                <w:lang w:val="pt-BR"/>
              </w:rPr>
            </w:pPr>
            <w:r>
              <w:rPr>
                <w:rFonts w:cs="Times New Roman" w:ascii="Times New Roman" w:hAnsi="Times New Roman"/>
                <w:lang w:val="pt-BR"/>
              </w:rPr>
            </w:r>
          </w:p>
        </w:tc>
        <w:tc>
          <w:tcPr>
            <w:tcW w:w="69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F</w:t>
            </w:r>
          </w:p>
        </w:tc>
        <w:tc>
          <w:tcPr>
            <w:tcW w:w="225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rFonts w:ascii="Times New Roman" w:hAnsi="Times New Roman" w:cs="Times New Roman"/>
              </w:rPr>
            </w:pPr>
            <w:r>
              <w:rPr>
                <w:rFonts w:cs="Times New Roman" w:ascii="Times New Roman" w:hAnsi="Times New Roman"/>
              </w:rPr>
              <w:t>113</w:t>
            </w:r>
          </w:p>
        </w:tc>
      </w:tr>
      <w:tr>
        <w:trPr>
          <w:trHeight w:val="434" w:hRule="exact"/>
        </w:trPr>
        <w:tc>
          <w:tcPr>
            <w:tcW w:w="1545"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65+ A</w:t>
            </w:r>
          </w:p>
        </w:tc>
        <w:tc>
          <w:tcPr>
            <w:tcW w:w="69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M</w:t>
            </w:r>
          </w:p>
        </w:tc>
        <w:tc>
          <w:tcPr>
            <w:tcW w:w="225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rFonts w:ascii="Times New Roman" w:hAnsi="Times New Roman" w:cs="Times New Roman"/>
              </w:rPr>
            </w:pPr>
            <w:r>
              <w:rPr>
                <w:rFonts w:cs="Times New Roman" w:ascii="Times New Roman" w:hAnsi="Times New Roman"/>
              </w:rPr>
              <w:t>55</w:t>
            </w:r>
          </w:p>
        </w:tc>
      </w:tr>
      <w:tr>
        <w:trPr>
          <w:trHeight w:val="434" w:hRule="exact"/>
        </w:trPr>
        <w:tc>
          <w:tcPr>
            <w:tcW w:w="1545" w:type="dxa"/>
            <w:vMerge w:val="continue"/>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0"/>
              <w:rPr>
                <w:rFonts w:ascii="Times New Roman" w:hAnsi="Times New Roman" w:cs="Times New Roman"/>
                <w:lang w:val="pt-BR"/>
              </w:rPr>
            </w:pPr>
            <w:r>
              <w:rPr>
                <w:rFonts w:cs="Times New Roman" w:ascii="Times New Roman" w:hAnsi="Times New Roman"/>
                <w:lang w:val="pt-BR"/>
              </w:rPr>
            </w:r>
          </w:p>
        </w:tc>
        <w:tc>
          <w:tcPr>
            <w:tcW w:w="69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F</w:t>
            </w:r>
          </w:p>
        </w:tc>
        <w:tc>
          <w:tcPr>
            <w:tcW w:w="225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rFonts w:ascii="Times New Roman" w:hAnsi="Times New Roman" w:cs="Times New Roman"/>
              </w:rPr>
            </w:pPr>
            <w:r>
              <w:rPr>
                <w:rFonts w:cs="Times New Roman" w:ascii="Times New Roman" w:hAnsi="Times New Roman"/>
              </w:rPr>
              <w:t>105</w:t>
            </w:r>
          </w:p>
        </w:tc>
      </w:tr>
      <w:tr>
        <w:trPr>
          <w:trHeight w:val="434" w:hRule="exact"/>
        </w:trPr>
        <w:tc>
          <w:tcPr>
            <w:tcW w:w="1545" w:type="dxa"/>
            <w:vMerge w:val="restart"/>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SOMA</w:t>
            </w:r>
          </w:p>
        </w:tc>
        <w:tc>
          <w:tcPr>
            <w:tcW w:w="69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M</w:t>
            </w:r>
          </w:p>
        </w:tc>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rFonts w:ascii="Times New Roman" w:hAnsi="Times New Roman" w:cs="Times New Roman"/>
                <w:bCs/>
              </w:rPr>
            </w:pPr>
            <w:r>
              <w:rPr>
                <w:rFonts w:cs="Times New Roman" w:ascii="Times New Roman" w:hAnsi="Times New Roman"/>
                <w:bCs/>
              </w:rPr>
              <w:t>201</w:t>
            </w:r>
          </w:p>
        </w:tc>
      </w:tr>
      <w:tr>
        <w:trPr>
          <w:trHeight w:val="434" w:hRule="exact"/>
        </w:trPr>
        <w:tc>
          <w:tcPr>
            <w:tcW w:w="1545" w:type="dxa"/>
            <w:vMerge w:val="continue"/>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0"/>
              <w:rPr>
                <w:rFonts w:ascii="Times New Roman" w:hAnsi="Times New Roman" w:cs="Times New Roman"/>
                <w:lang w:val="pt-BR"/>
              </w:rPr>
            </w:pPr>
            <w:r>
              <w:rPr>
                <w:rFonts w:cs="Times New Roman" w:ascii="Times New Roman" w:hAnsi="Times New Roman"/>
                <w:lang w:val="pt-BR"/>
              </w:rPr>
            </w:r>
          </w:p>
        </w:tc>
        <w:tc>
          <w:tcPr>
            <w:tcW w:w="699" w:type="dxa"/>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rPr>
            </w:pPr>
            <w:r>
              <w:rPr>
                <w:rFonts w:cs="Times New Roman" w:ascii="Times New Roman" w:hAnsi="Times New Roman"/>
              </w:rPr>
              <w:t>F</w:t>
            </w:r>
          </w:p>
        </w:tc>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rFonts w:ascii="Times New Roman" w:hAnsi="Times New Roman" w:cs="Times New Roman"/>
                <w:bCs/>
              </w:rPr>
            </w:pPr>
            <w:r>
              <w:rPr>
                <w:rFonts w:cs="Times New Roman" w:ascii="Times New Roman" w:hAnsi="Times New Roman"/>
                <w:bCs/>
              </w:rPr>
              <w:t>290</w:t>
            </w:r>
          </w:p>
        </w:tc>
      </w:tr>
      <w:tr>
        <w:trPr>
          <w:trHeight w:val="468" w:hRule="exact"/>
        </w:trPr>
        <w:tc>
          <w:tcPr>
            <w:tcW w:w="2244" w:type="dxa"/>
            <w:gridSpan w:val="2"/>
            <w:tcBorders>
              <w:top w:val="single" w:sz="4" w:space="0" w:color="000000"/>
              <w:left w:val="single" w:sz="4" w:space="0" w:color="000000"/>
              <w:bottom w:val="single" w:sz="4" w:space="0" w:color="000000"/>
              <w:right w:val="single" w:sz="4" w:space="0" w:color="000000"/>
            </w:tcBorders>
            <w:shd w:color="auto" w:fill="B8CCE4" w:themeFill="accent1" w:themeFillTint="66" w:val="clear"/>
            <w:vAlign w:val="center"/>
          </w:tcPr>
          <w:p>
            <w:pPr>
              <w:pStyle w:val="Normal"/>
              <w:spacing w:before="0" w:after="200"/>
              <w:jc w:val="center"/>
              <w:rPr>
                <w:rFonts w:ascii="Times New Roman" w:hAnsi="Times New Roman" w:cs="Times New Roman"/>
                <w:b/>
              </w:rPr>
            </w:pPr>
            <w:r>
              <w:rPr>
                <w:rFonts w:cs="Times New Roman" w:ascii="Times New Roman" w:hAnsi="Times New Roman"/>
                <w:b/>
              </w:rPr>
              <w:t>TOTAL</w:t>
            </w:r>
          </w:p>
        </w:tc>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rFonts w:ascii="Times New Roman" w:hAnsi="Times New Roman" w:cs="Times New Roman"/>
                <w:b/>
              </w:rPr>
            </w:pPr>
            <w:r>
              <w:rPr>
                <w:rFonts w:cs="Times New Roman" w:ascii="Times New Roman" w:hAnsi="Times New Roman"/>
                <w:b/>
              </w:rPr>
              <w:t>491</w:t>
            </w:r>
          </w:p>
        </w:tc>
      </w:tr>
    </w:tbl>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spacing w:before="0" w:after="0"/>
        <w:jc w:val="both"/>
        <w:rPr>
          <w:rFonts w:ascii="Times New Roman" w:hAnsi="Times New Roman" w:cs="Times New Roman"/>
          <w:b/>
          <w:bCs/>
          <w:sz w:val="24"/>
          <w:szCs w:val="24"/>
          <w:lang w:val="pt-BR"/>
        </w:rPr>
      </w:pPr>
      <w:r>
        <w:rPr>
          <w:rFonts w:cs="Times New Roman" w:ascii="Times New Roman" w:hAnsi="Times New Roman"/>
          <w:b/>
          <w:bCs/>
          <w:sz w:val="24"/>
          <w:szCs w:val="24"/>
          <w:lang w:val="pt-BR"/>
        </w:rPr>
        <w:t>Gráfico 6. Nr. de Pacientes observados por  Grupos Etários IONA /</w:t>
      </w:r>
      <w:r>
        <w:rPr>
          <w:rFonts w:eastAsia="Times New Roman" w:cs="Times New Roman" w:ascii="Times New Roman" w:hAnsi="Times New Roman"/>
          <w:b/>
          <w:sz w:val="24"/>
          <w:szCs w:val="24"/>
          <w:lang w:eastAsia="pt-PT"/>
        </w:rPr>
        <w:t xml:space="preserve"> Janeiro</w:t>
      </w:r>
      <w:r>
        <w:rPr>
          <w:rFonts w:cs="Times New Roman" w:ascii="Times New Roman" w:hAnsi="Times New Roman"/>
          <w:b/>
          <w:bCs/>
          <w:sz w:val="24"/>
          <w:szCs w:val="24"/>
          <w:lang w:val="pt-BR"/>
        </w:rPr>
        <w:t xml:space="preserve"> 2026</w:t>
      </w:r>
    </w:p>
    <w:p>
      <w:pPr>
        <w:pStyle w:val="Normal"/>
        <w:spacing w:before="0" w:after="0"/>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jc w:val="center"/>
        <w:rPr>
          <w:rFonts w:ascii="Times New Roman" w:hAnsi="Times New Roman" w:cs="Times New Roman"/>
          <w:b/>
          <w:sz w:val="24"/>
          <w:szCs w:val="24"/>
        </w:rPr>
      </w:pPr>
      <w:r>
        <w:rPr/>
        <w:drawing>
          <wp:inline distT="0" distB="0" distL="0" distR="0">
            <wp:extent cx="4267200" cy="2619375"/>
            <wp:effectExtent l="0" t="0" r="0" b="0"/>
            <wp:docPr id="10" name="Gráfico 2"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pPr>
        <w:pStyle w:val="Normal"/>
        <w:spacing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before="0" w:after="0"/>
        <w:jc w:val="both"/>
        <w:rPr>
          <w:rFonts w:ascii="Times New Roman" w:hAnsi="Times New Roman" w:eastAsia="Times New Roman" w:cs="Times New Roman"/>
          <w:b/>
          <w:sz w:val="24"/>
          <w:szCs w:val="24"/>
          <w:lang w:val="pt-BR" w:eastAsia="pt-PT"/>
        </w:rPr>
      </w:pPr>
      <w:r>
        <w:rPr>
          <w:rFonts w:eastAsia="Times New Roman" w:cs="Times New Roman" w:ascii="Times New Roman" w:hAnsi="Times New Roman"/>
          <w:b/>
          <w:sz w:val="24"/>
          <w:szCs w:val="24"/>
          <w:lang w:val="pt-BR" w:eastAsia="pt-PT"/>
        </w:rPr>
      </w:r>
    </w:p>
    <w:p>
      <w:pPr>
        <w:pStyle w:val="Normal"/>
        <w:spacing w:before="0" w:after="0"/>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sz w:val="24"/>
          <w:szCs w:val="24"/>
          <w:lang w:val="pt-BR" w:eastAsia="pt-PT"/>
        </w:rPr>
        <w:t xml:space="preserve">Tabela </w:t>
      </w:r>
      <w:r>
        <w:rPr>
          <w:rFonts w:cs="Times New Roman" w:ascii="Times New Roman" w:hAnsi="Times New Roman"/>
          <w:b/>
          <w:sz w:val="24"/>
          <w:szCs w:val="24"/>
          <w:lang w:val="pt-BR"/>
        </w:rPr>
        <w:t>nº 8.3</w:t>
      </w:r>
      <w:r>
        <w:rPr>
          <w:rFonts w:eastAsia="Times New Roman" w:cs="Times New Roman" w:ascii="Times New Roman" w:hAnsi="Times New Roman"/>
          <w:b/>
          <w:sz w:val="24"/>
          <w:szCs w:val="24"/>
          <w:lang w:val="pt-BR" w:eastAsia="pt-PT"/>
        </w:rPr>
        <w:t xml:space="preserve">. Patologias mais Frequentes </w:t>
      </w:r>
      <w:r>
        <w:rPr>
          <w:rFonts w:eastAsia="Times New Roman" w:cs="Times New Roman" w:ascii="Times New Roman" w:hAnsi="Times New Roman"/>
          <w:b/>
          <w:bCs/>
          <w:sz w:val="24"/>
          <w:szCs w:val="24"/>
          <w:lang w:val="pt-BR" w:eastAsia="pt-PT"/>
        </w:rPr>
        <w:t xml:space="preserve">IONA/ </w:t>
      </w:r>
      <w:r>
        <w:rPr>
          <w:rFonts w:eastAsia="Times New Roman" w:cs="Times New Roman" w:ascii="Times New Roman" w:hAnsi="Times New Roman"/>
          <w:b/>
          <w:sz w:val="24"/>
          <w:szCs w:val="24"/>
          <w:lang w:eastAsia="pt-PT"/>
        </w:rPr>
        <w:t>Janeiro</w:t>
      </w:r>
      <w:r>
        <w:rPr>
          <w:rFonts w:eastAsia="Times New Roman" w:cs="Times New Roman" w:ascii="Times New Roman" w:hAnsi="Times New Roman"/>
          <w:b/>
          <w:bCs/>
          <w:sz w:val="24"/>
          <w:szCs w:val="24"/>
          <w:lang w:val="pt-BR" w:eastAsia="pt-PT"/>
        </w:rPr>
        <w:t xml:space="preserve"> 2026</w:t>
      </w:r>
    </w:p>
    <w:p>
      <w:pPr>
        <w:pStyle w:val="Normal"/>
        <w:spacing w:before="0" w:after="0"/>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p>
      <w:pPr>
        <w:pStyle w:val="Normal"/>
        <w:spacing w:before="0" w:after="0"/>
        <w:jc w:val="both"/>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Destacam-se em primeiro lugar a HTA com 59% (356) casos, seguindo-se as Diabetes Mellitus com 25% (147) casos.</w:t>
      </w:r>
    </w:p>
    <w:p>
      <w:pPr>
        <w:pStyle w:val="Normal"/>
        <w:spacing w:before="0" w:after="0"/>
        <w:jc w:val="both"/>
        <w:rPr>
          <w:rFonts w:ascii="Times New Roman" w:hAnsi="Times New Roman" w:eastAsia="Times New Roman" w:cs="Times New Roman"/>
          <w:b/>
          <w:bCs/>
          <w:sz w:val="24"/>
          <w:szCs w:val="24"/>
          <w:lang w:val="pt-BR" w:eastAsia="pt-PT"/>
        </w:rPr>
      </w:pPr>
      <w:r>
        <w:rPr>
          <w:rFonts w:eastAsia="Times New Roman" w:cs="Times New Roman" w:ascii="Times New Roman" w:hAnsi="Times New Roman"/>
          <w:b/>
          <w:bCs/>
          <w:sz w:val="24"/>
          <w:szCs w:val="24"/>
          <w:lang w:val="pt-BR" w:eastAsia="pt-PT"/>
        </w:rPr>
      </w:r>
    </w:p>
    <w:tbl>
      <w:tblPr>
        <w:tblW w:w="7252" w:type="dxa"/>
        <w:jc w:val="left"/>
        <w:tblInd w:w="-5" w:type="dxa"/>
        <w:tblLayout w:type="fixed"/>
        <w:tblCellMar>
          <w:top w:w="0" w:type="dxa"/>
          <w:left w:w="70" w:type="dxa"/>
          <w:bottom w:w="0" w:type="dxa"/>
          <w:right w:w="70" w:type="dxa"/>
        </w:tblCellMar>
        <w:tblLook w:val="04a0" w:noHBand="0" w:noVBand="1" w:firstColumn="1" w:lastRow="0" w:lastColumn="0" w:firstRow="1"/>
      </w:tblPr>
      <w:tblGrid>
        <w:gridCol w:w="4852"/>
        <w:gridCol w:w="1199"/>
        <w:gridCol w:w="1201"/>
      </w:tblGrid>
      <w:tr>
        <w:trPr>
          <w:trHeight w:val="438" w:hRule="atLeast"/>
        </w:trPr>
        <w:tc>
          <w:tcPr>
            <w:tcW w:w="4852" w:type="dxa"/>
            <w:tcBorders>
              <w:top w:val="single" w:sz="4" w:space="0" w:color="000000"/>
              <w:left w:val="single" w:sz="4" w:space="0" w:color="000000"/>
              <w:bottom w:val="single" w:sz="4" w:space="0" w:color="000000"/>
              <w:right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Patologias</w:t>
            </w:r>
          </w:p>
        </w:tc>
        <w:tc>
          <w:tcPr>
            <w:tcW w:w="1199" w:type="dxa"/>
            <w:tcBorders>
              <w:top w:val="single" w:sz="4" w:space="0" w:color="000000"/>
              <w:bottom w:val="single" w:sz="4" w:space="0" w:color="000000"/>
              <w:right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Total</w:t>
            </w:r>
          </w:p>
        </w:tc>
        <w:tc>
          <w:tcPr>
            <w:tcW w:w="1201" w:type="dxa"/>
            <w:tcBorders>
              <w:top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jc w:val="center"/>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w:t>
            </w:r>
          </w:p>
        </w:tc>
      </w:tr>
      <w:tr>
        <w:trPr>
          <w:trHeight w:val="438" w:hRule="atLeast"/>
        </w:trPr>
        <w:tc>
          <w:tcPr>
            <w:tcW w:w="4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lang w:eastAsia="pt-PT"/>
              </w:rPr>
            </w:pPr>
            <w:r>
              <w:rPr>
                <w:rFonts w:eastAsia="Times New Roman" w:cs="Times New Roman" w:ascii="Times New Roman" w:hAnsi="Times New Roman"/>
                <w:lang w:eastAsia="pt-PT"/>
              </w:rPr>
              <w:t>HTA</w:t>
            </w:r>
          </w:p>
        </w:tc>
        <w:tc>
          <w:tcPr>
            <w:tcW w:w="1199"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356</w:t>
            </w:r>
          </w:p>
        </w:tc>
        <w:tc>
          <w:tcPr>
            <w:tcW w:w="1201"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59</w:t>
            </w:r>
          </w:p>
        </w:tc>
      </w:tr>
      <w:tr>
        <w:trPr>
          <w:trHeight w:val="459" w:hRule="atLeast"/>
        </w:trPr>
        <w:tc>
          <w:tcPr>
            <w:tcW w:w="48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lang w:eastAsia="pt-PT"/>
              </w:rPr>
            </w:pPr>
            <w:r>
              <w:rPr>
                <w:rFonts w:eastAsia="Times New Roman" w:cs="Times New Roman" w:ascii="Times New Roman" w:hAnsi="Times New Roman"/>
                <w:lang w:eastAsia="pt-PT"/>
              </w:rPr>
              <w:t>Diabetes Mellitus</w:t>
            </w:r>
          </w:p>
        </w:tc>
        <w:tc>
          <w:tcPr>
            <w:tcW w:w="1199"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147</w:t>
            </w:r>
          </w:p>
        </w:tc>
        <w:tc>
          <w:tcPr>
            <w:tcW w:w="1201"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25</w:t>
            </w:r>
          </w:p>
        </w:tc>
      </w:tr>
      <w:tr>
        <w:trPr>
          <w:trHeight w:val="459" w:hRule="atLeast"/>
        </w:trPr>
        <w:tc>
          <w:tcPr>
            <w:tcW w:w="48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lang w:eastAsia="pt-PT"/>
              </w:rPr>
            </w:pPr>
            <w:r>
              <w:rPr>
                <w:rFonts w:eastAsia="Times New Roman" w:cs="Times New Roman" w:ascii="Times New Roman" w:hAnsi="Times New Roman"/>
                <w:lang w:eastAsia="pt-PT"/>
              </w:rPr>
              <w:t>Dengue</w:t>
            </w:r>
          </w:p>
        </w:tc>
        <w:tc>
          <w:tcPr>
            <w:tcW w:w="1199"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5</w:t>
            </w:r>
          </w:p>
        </w:tc>
        <w:tc>
          <w:tcPr>
            <w:tcW w:w="1201"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w:t>
            </w:r>
          </w:p>
        </w:tc>
      </w:tr>
      <w:tr>
        <w:trPr>
          <w:trHeight w:val="459" w:hRule="atLeast"/>
        </w:trPr>
        <w:tc>
          <w:tcPr>
            <w:tcW w:w="4852"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ascii="Times New Roman" w:hAnsi="Times New Roman" w:eastAsia="Times New Roman" w:cs="Times New Roman"/>
                <w:lang w:eastAsia="pt-PT"/>
              </w:rPr>
            </w:pPr>
            <w:r>
              <w:rPr>
                <w:rFonts w:eastAsia="Times New Roman" w:cs="Times New Roman" w:ascii="Times New Roman" w:hAnsi="Times New Roman"/>
                <w:lang w:eastAsia="pt-PT"/>
              </w:rPr>
              <w:t>Outros</w:t>
            </w:r>
          </w:p>
        </w:tc>
        <w:tc>
          <w:tcPr>
            <w:tcW w:w="1199"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90</w:t>
            </w:r>
          </w:p>
        </w:tc>
        <w:tc>
          <w:tcPr>
            <w:tcW w:w="1201" w:type="dxa"/>
            <w:tcBorders>
              <w:bottom w:val="single" w:sz="4" w:space="0" w:color="000000"/>
              <w:right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15</w:t>
            </w:r>
          </w:p>
        </w:tc>
      </w:tr>
      <w:tr>
        <w:trPr>
          <w:trHeight w:val="459" w:hRule="atLeast"/>
        </w:trPr>
        <w:tc>
          <w:tcPr>
            <w:tcW w:w="4852" w:type="dxa"/>
            <w:tcBorders>
              <w:top w:val="single" w:sz="4" w:space="0" w:color="000000"/>
              <w:left w:val="single" w:sz="4" w:space="0" w:color="000000"/>
              <w:bottom w:val="single" w:sz="4" w:space="0" w:color="000000"/>
              <w:right w:val="single" w:sz="4" w:space="0" w:color="000000"/>
            </w:tcBorders>
            <w:shd w:color="000000" w:fill="BDD7EE" w:val="clear"/>
            <w:vAlign w:val="bottom"/>
          </w:tcPr>
          <w:p>
            <w:pPr>
              <w:pStyle w:val="Normal"/>
              <w:spacing w:lineRule="auto" w:line="240" w:before="0" w:after="0"/>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Total</w:t>
            </w:r>
          </w:p>
        </w:tc>
        <w:tc>
          <w:tcPr>
            <w:tcW w:w="1199" w:type="dxa"/>
            <w:tcBorders>
              <w:bottom w:val="single" w:sz="4" w:space="0" w:color="000000"/>
              <w:right w:val="single" w:sz="4" w:space="0" w:color="000000"/>
            </w:tcBorders>
            <w:shd w:color="000000" w:fill="BDD7EE" w:val="clear"/>
            <w:vAlign w:val="center"/>
          </w:tcPr>
          <w:p>
            <w:pPr>
              <w:pStyle w:val="Normal"/>
              <w:spacing w:lineRule="auto" w:line="240" w:before="0" w:after="0"/>
              <w:jc w:val="center"/>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598</w:t>
            </w:r>
          </w:p>
        </w:tc>
        <w:tc>
          <w:tcPr>
            <w:tcW w:w="1201" w:type="dxa"/>
            <w:tcBorders>
              <w:bottom w:val="single" w:sz="4" w:space="0" w:color="000000"/>
              <w:right w:val="single" w:sz="4" w:space="0" w:color="000000"/>
            </w:tcBorders>
            <w:shd w:color="000000" w:fill="BDD7EE" w:val="clear"/>
            <w:vAlign w:val="bottom"/>
          </w:tcPr>
          <w:p>
            <w:pPr>
              <w:pStyle w:val="Normal"/>
              <w:spacing w:lineRule="auto" w:line="240" w:before="0" w:after="0"/>
              <w:jc w:val="center"/>
              <w:rPr>
                <w:rFonts w:ascii="Calibri" w:hAnsi="Calibri" w:eastAsia="Times New Roman" w:cs="Calibri"/>
                <w:b/>
                <w:bCs/>
                <w:color w:val="000000"/>
                <w:lang w:eastAsia="pt-PT"/>
              </w:rPr>
            </w:pPr>
            <w:r>
              <w:rPr>
                <w:rFonts w:eastAsia="Times New Roman" w:cs="Calibri" w:ascii="Calibri" w:hAnsi="Calibri"/>
                <w:b/>
                <w:bCs/>
                <w:color w:val="000000"/>
                <w:lang w:eastAsia="pt-PT"/>
              </w:rPr>
              <w:t>100</w:t>
            </w:r>
          </w:p>
        </w:tc>
      </w:tr>
    </w:tbl>
    <w:p>
      <w:pPr>
        <w:pStyle w:val="Normal"/>
        <w:spacing w:before="0" w:after="0"/>
        <w:jc w:val="both"/>
        <w:rPr>
          <w:lang w:eastAsia="pt-PT"/>
        </w:rPr>
      </w:pPr>
      <w:r>
        <w:rPr>
          <w:lang w:eastAsia="pt-PT"/>
        </w:rPr>
      </w:r>
    </w:p>
    <w:p>
      <w:pPr>
        <w:pStyle w:val="Normal"/>
        <w:spacing w:before="0" w:after="0"/>
        <w:jc w:val="both"/>
        <w:rPr>
          <w:rFonts w:ascii="Times New Roman" w:hAnsi="Times New Roman" w:eastAsia="SimSun" w:cs="Times New Roman"/>
          <w:sz w:val="20"/>
          <w:szCs w:val="20"/>
          <w:lang w:eastAsia="pt-PT"/>
        </w:rPr>
      </w:pPr>
      <w:r>
        <w:fldChar w:fldCharType="begin"/>
      </w:r>
      <w:r>
        <w:rPr>
          <w:lang w:eastAsia="pt-PT"/>
        </w:rPr>
        <w:instrText xml:space="preserve">LINK Excel.Sheet.12 "C:\\Users\\Otaln\\OneDrive\\Desktop\\LANÇAMENTO-2025\\MEDICINA INTERNA PATOLOGIAS.xlsx" AGOSTO-DEZEMBRO!L18C3:L24C6 \a \f 4 \h  \* MERGEFORMAT</w:instrText>
      </w:r>
      <w:r>
        <w:rPr>
          <w:lang w:eastAsia="pt-PT"/>
        </w:rPr>
      </w:r>
      <w:r>
        <w:rPr>
          <w:lang w:eastAsia="pt-PT"/>
        </w:rPr>
        <w:fldChar w:fldCharType="separate"/>
      </w:r>
      <w:r/>
      <w:r>
        <w:rPr>
          <w:lang w:eastAsia="pt-PT"/>
        </w:rPr>
      </w:r>
    </w:p>
    <w:p>
      <w:pPr>
        <w:pStyle w:val="Normal"/>
        <w:spacing w:before="0" w:after="0"/>
        <w:jc w:val="both"/>
        <w:rPr>
          <w:rFonts w:ascii="Times New Roman" w:hAnsi="Times New Roman" w:eastAsia="Times New Roman" w:cs="Times New Roman"/>
          <w:b/>
          <w:color w:val="C00000"/>
          <w:sz w:val="24"/>
          <w:szCs w:val="24"/>
          <w:lang w:val="pt-BR" w:eastAsia="pt-PT"/>
        </w:rPr>
      </w:pPr>
      <w:r>
        <w:rPr>
          <w:lang w:eastAsia="pt-PT"/>
        </w:rPr>
      </w:r>
      <w:r>
        <w:rPr>
          <w:lang w:eastAsia="pt-PT"/>
        </w:rPr>
        <w:fldChar w:fldCharType="end"/>
      </w:r>
      <w:r>
        <w:rPr>
          <w:rFonts w:cs="Times New Roman" w:ascii="Times New Roman" w:hAnsi="Times New Roman"/>
          <w:b/>
          <w:bCs/>
          <w:sz w:val="24"/>
          <w:szCs w:val="24"/>
          <w:lang w:val="pt-BR"/>
        </w:rPr>
        <w:t xml:space="preserve">Gráfico 7. </w:t>
      </w:r>
      <w:r>
        <w:rPr>
          <w:rFonts w:eastAsia="Times New Roman" w:cs="Times New Roman" w:ascii="Times New Roman" w:hAnsi="Times New Roman"/>
          <w:b/>
          <w:sz w:val="24"/>
          <w:szCs w:val="24"/>
          <w:lang w:val="pt-BR" w:eastAsia="pt-PT"/>
        </w:rPr>
        <w:t xml:space="preserve">Patologias mais Frequentes </w:t>
      </w:r>
      <w:r>
        <w:rPr>
          <w:rFonts w:eastAsia="Times New Roman" w:cs="Times New Roman" w:ascii="Times New Roman" w:hAnsi="Times New Roman"/>
          <w:b/>
          <w:bCs/>
          <w:sz w:val="24"/>
          <w:szCs w:val="24"/>
          <w:lang w:val="pt-BR" w:eastAsia="pt-PT"/>
        </w:rPr>
        <w:t xml:space="preserve">IONA/ </w:t>
      </w:r>
      <w:r>
        <w:rPr>
          <w:rFonts w:eastAsia="Times New Roman" w:cs="Times New Roman" w:ascii="Times New Roman" w:hAnsi="Times New Roman"/>
          <w:b/>
          <w:sz w:val="24"/>
          <w:szCs w:val="24"/>
          <w:lang w:eastAsia="pt-PT"/>
        </w:rPr>
        <w:t>Janeiro</w:t>
      </w:r>
      <w:r>
        <w:rPr>
          <w:rFonts w:eastAsia="Times New Roman" w:cs="Times New Roman" w:ascii="Times New Roman" w:hAnsi="Times New Roman"/>
          <w:b/>
          <w:bCs/>
          <w:sz w:val="24"/>
          <w:szCs w:val="24"/>
          <w:lang w:val="pt-BR" w:eastAsia="pt-PT"/>
        </w:rPr>
        <w:t xml:space="preserve"> 2026 </w:t>
      </w:r>
    </w:p>
    <w:p>
      <w:pPr>
        <w:pStyle w:val="Normal"/>
        <w:spacing w:beforeAutospacing="1" w:afterAutospacing="1"/>
        <w:rPr>
          <w:rFonts w:ascii="Times New Roman" w:hAnsi="Times New Roman" w:eastAsia="Calibri" w:cs="Times New Roman"/>
          <w:b/>
          <w:bCs/>
          <w:sz w:val="24"/>
          <w:szCs w:val="24"/>
          <w:u w:val="single"/>
          <w:lang w:eastAsia="pt-PT"/>
        </w:rPr>
      </w:pPr>
      <w:r>
        <w:rPr>
          <w:rFonts w:eastAsia="Calibri" w:cs="Times New Roman" w:ascii="Times New Roman" w:hAnsi="Times New Roman"/>
          <w:b/>
          <w:bCs/>
          <w:sz w:val="24"/>
          <w:szCs w:val="24"/>
          <w:u w:val="single"/>
          <w:lang w:eastAsia="pt-PT"/>
        </w:rPr>
      </w:r>
    </w:p>
    <w:p>
      <w:pPr>
        <w:pStyle w:val="Normal"/>
        <w:spacing w:beforeAutospacing="1" w:afterAutospacing="1"/>
        <w:ind w:left="142"/>
        <w:jc w:val="center"/>
        <w:rPr>
          <w:rFonts w:ascii="Times New Roman" w:hAnsi="Times New Roman" w:eastAsia="Calibri" w:cs="Times New Roman"/>
          <w:b/>
          <w:bCs/>
          <w:sz w:val="24"/>
          <w:szCs w:val="24"/>
          <w:u w:val="single"/>
          <w:lang w:eastAsia="pt-PT"/>
        </w:rPr>
      </w:pPr>
      <w:r>
        <w:rPr/>
        <w:drawing>
          <wp:inline distT="0" distB="0" distL="0" distR="0">
            <wp:extent cx="5219700" cy="2590800"/>
            <wp:effectExtent l="0" t="0" r="0" b="0"/>
            <wp:docPr id="11" name="Gráfico 14"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pPr>
        <w:pStyle w:val="Normal"/>
        <w:spacing w:beforeAutospacing="1" w:afterAutospacing="1"/>
        <w:ind w:left="142"/>
        <w:jc w:val="center"/>
        <w:rPr>
          <w:rFonts w:ascii="Times New Roman" w:hAnsi="Times New Roman" w:eastAsia="Calibri" w:cs="Times New Roman"/>
          <w:b/>
          <w:bCs/>
          <w:sz w:val="24"/>
          <w:szCs w:val="24"/>
          <w:u w:val="single"/>
          <w:lang w:eastAsia="pt-PT"/>
        </w:rPr>
      </w:pPr>
      <w:r>
        <w:rPr>
          <w:rFonts w:eastAsia="Calibri" w:cs="Times New Roman" w:ascii="Times New Roman" w:hAnsi="Times New Roman"/>
          <w:b/>
          <w:bCs/>
          <w:sz w:val="24"/>
          <w:szCs w:val="24"/>
          <w:u w:val="single"/>
          <w:lang w:eastAsia="pt-PT"/>
        </w:rPr>
      </w:r>
    </w:p>
    <w:p>
      <w:pPr>
        <w:pStyle w:val="Normal"/>
        <w:spacing w:before="0" w:after="0"/>
        <w:ind w:left="-567"/>
        <w:jc w:val="both"/>
        <w:rPr>
          <w:rFonts w:ascii="Times New Roman" w:hAnsi="Times New Roman" w:cs="Times New Roman"/>
          <w:color w:val="00B050"/>
          <w:sz w:val="24"/>
          <w:szCs w:val="24"/>
        </w:rPr>
      </w:pPr>
      <w:r>
        <w:rPr>
          <w:rFonts w:cs="Times New Roman" w:ascii="Times New Roman" w:hAnsi="Times New Roman"/>
          <w:color w:val="00B050"/>
          <w:sz w:val="24"/>
          <w:szCs w:val="24"/>
        </w:rPr>
      </w:r>
    </w:p>
    <w:p>
      <w:pPr>
        <w:pStyle w:val="Normal"/>
        <w:spacing w:before="0" w:after="0"/>
        <w:ind w:left="-567"/>
        <w:jc w:val="both"/>
        <w:rPr>
          <w:rFonts w:ascii="Times New Roman" w:hAnsi="Times New Roman" w:cs="Times New Roman"/>
          <w:color w:val="00B050"/>
          <w:sz w:val="24"/>
          <w:szCs w:val="24"/>
        </w:rPr>
      </w:pPr>
      <w:r>
        <w:rPr>
          <w:rFonts w:cs="Times New Roman" w:ascii="Times New Roman" w:hAnsi="Times New Roman"/>
          <w:color w:val="00B050"/>
          <w:sz w:val="24"/>
          <w:szCs w:val="24"/>
        </w:rPr>
      </w:r>
    </w:p>
    <w:p>
      <w:pPr>
        <w:pStyle w:val="Normal"/>
        <w:spacing w:before="0" w:after="0"/>
        <w:ind w:left="-567"/>
        <w:jc w:val="both"/>
        <w:rPr>
          <w:rFonts w:ascii="Times New Roman" w:hAnsi="Times New Roman" w:cs="Times New Roman"/>
          <w:color w:val="00B050"/>
          <w:sz w:val="24"/>
          <w:szCs w:val="24"/>
        </w:rPr>
      </w:pPr>
      <w:r>
        <w:rPr>
          <w:rFonts w:cs="Times New Roman" w:ascii="Times New Roman" w:hAnsi="Times New Roman"/>
          <w:color w:val="00B050"/>
          <w:sz w:val="24"/>
          <w:szCs w:val="24"/>
        </w:rPr>
      </w:r>
    </w:p>
    <w:p>
      <w:pPr>
        <w:pStyle w:val="Normal"/>
        <w:spacing w:before="0" w:after="0"/>
        <w:ind w:left="-567"/>
        <w:jc w:val="both"/>
        <w:rPr>
          <w:rFonts w:ascii="Times New Roman" w:hAnsi="Times New Roman" w:cs="Times New Roman"/>
          <w:color w:val="00B050"/>
          <w:sz w:val="24"/>
          <w:szCs w:val="24"/>
        </w:rPr>
      </w:pPr>
      <w:r>
        <w:rPr>
          <w:rFonts w:cs="Times New Roman" w:ascii="Times New Roman" w:hAnsi="Times New Roman"/>
          <w:color w:val="00B050"/>
          <w:sz w:val="24"/>
          <w:szCs w:val="24"/>
        </w:rPr>
      </w:r>
    </w:p>
    <w:p>
      <w:pPr>
        <w:pStyle w:val="Normal"/>
        <w:spacing w:before="0" w:after="0"/>
        <w:ind w:left="-567"/>
        <w:jc w:val="both"/>
        <w:rPr>
          <w:rFonts w:ascii="Times New Roman" w:hAnsi="Times New Roman" w:cs="Times New Roman"/>
          <w:color w:val="00B050"/>
          <w:sz w:val="24"/>
          <w:szCs w:val="24"/>
        </w:rPr>
      </w:pPr>
      <w:r>
        <w:rPr>
          <w:rFonts w:cs="Times New Roman" w:ascii="Times New Roman" w:hAnsi="Times New Roman"/>
          <w:color w:val="00B050"/>
          <w:sz w:val="24"/>
          <w:szCs w:val="24"/>
        </w:rPr>
      </w:r>
    </w:p>
    <w:p>
      <w:pPr>
        <w:pStyle w:val="Normal"/>
        <w:spacing w:before="0" w:after="0"/>
        <w:ind w:left="-567"/>
        <w:jc w:val="both"/>
        <w:rPr>
          <w:rFonts w:ascii="Times New Roman" w:hAnsi="Times New Roman" w:cs="Times New Roman"/>
          <w:color w:val="00B050"/>
          <w:sz w:val="24"/>
          <w:szCs w:val="24"/>
        </w:rPr>
      </w:pPr>
      <w:r>
        <w:rPr>
          <w:rFonts w:cs="Times New Roman" w:ascii="Times New Roman" w:hAnsi="Times New Roman"/>
          <w:color w:val="00B050"/>
          <w:sz w:val="24"/>
          <w:szCs w:val="24"/>
        </w:rPr>
      </w:r>
    </w:p>
    <w:p>
      <w:pPr>
        <w:pStyle w:val="Normal"/>
        <w:spacing w:before="0" w:after="0"/>
        <w:ind w:left="-567"/>
        <w:jc w:val="both"/>
        <w:rPr>
          <w:rFonts w:ascii="Times New Roman" w:hAnsi="Times New Roman" w:cs="Times New Roman"/>
          <w:color w:val="00B050"/>
          <w:sz w:val="24"/>
          <w:szCs w:val="24"/>
        </w:rPr>
      </w:pPr>
      <w:r>
        <w:rPr>
          <w:rFonts w:cs="Times New Roman" w:ascii="Times New Roman" w:hAnsi="Times New Roman"/>
          <w:color w:val="00B050"/>
          <w:sz w:val="24"/>
          <w:szCs w:val="24"/>
        </w:rPr>
      </w:r>
    </w:p>
    <w:p>
      <w:pPr>
        <w:pStyle w:val="Normal"/>
        <w:spacing w:before="0" w:after="0"/>
        <w:ind w:left="-567"/>
        <w:jc w:val="both"/>
        <w:rPr>
          <w:rFonts w:ascii="Times New Roman" w:hAnsi="Times New Roman" w:cs="Times New Roman"/>
          <w:color w:val="00B050"/>
          <w:sz w:val="24"/>
          <w:szCs w:val="24"/>
        </w:rPr>
      </w:pPr>
      <w:r>
        <w:rPr>
          <w:rFonts w:cs="Times New Roman" w:ascii="Times New Roman" w:hAnsi="Times New Roman"/>
          <w:color w:val="00B050"/>
          <w:sz w:val="24"/>
          <w:szCs w:val="24"/>
        </w:rPr>
      </w:r>
    </w:p>
    <w:p>
      <w:pPr>
        <w:pStyle w:val="Normal"/>
        <w:spacing w:before="0" w:after="0"/>
        <w:ind w:left="-567"/>
        <w:jc w:val="both"/>
        <w:rPr>
          <w:rFonts w:ascii="Times New Roman" w:hAnsi="Times New Roman" w:cs="Times New Roman"/>
          <w:color w:val="00B050"/>
          <w:sz w:val="24"/>
          <w:szCs w:val="24"/>
        </w:rPr>
      </w:pPr>
      <w:r>
        <w:rPr>
          <w:rFonts w:cs="Times New Roman" w:ascii="Times New Roman" w:hAnsi="Times New Roman"/>
          <w:color w:val="00B050"/>
          <w:sz w:val="24"/>
          <w:szCs w:val="24"/>
        </w:rPr>
      </w:r>
    </w:p>
    <w:p>
      <w:pPr>
        <w:pStyle w:val="font6"/>
        <w:spacing w:lineRule="auto" w:line="360" w:before="280" w:after="280"/>
        <w:ind w:left="-567"/>
        <w:rPr>
          <w:rFonts w:ascii="Times New Roman" w:hAnsi="Times New Roman" w:eastAsia="Calibri" w:cs="Times New Roman"/>
          <w:sz w:val="24"/>
          <w:szCs w:val="24"/>
          <w:u w:val="single"/>
          <w:lang w:val="pt-BR"/>
        </w:rPr>
      </w:pPr>
      <w:r>
        <w:rPr>
          <w:rFonts w:eastAsia="Calibri" w:cs="Times New Roman" w:ascii="Times New Roman" w:hAnsi="Times New Roman"/>
          <w:sz w:val="24"/>
          <w:szCs w:val="24"/>
          <w:lang w:val="pt-BR"/>
        </w:rPr>
        <w:t xml:space="preserve">5.2 </w:t>
      </w:r>
      <w:r>
        <w:rPr>
          <w:rFonts w:eastAsia="Calibri" w:cs="Times New Roman" w:ascii="Times New Roman" w:hAnsi="Times New Roman"/>
          <w:sz w:val="24"/>
          <w:szCs w:val="24"/>
          <w:u w:val="single"/>
          <w:lang w:val="pt-BR"/>
        </w:rPr>
        <w:t xml:space="preserve">Farmácia </w:t>
      </w:r>
    </w:p>
    <w:p>
      <w:pPr>
        <w:pStyle w:val="Normal"/>
        <w:spacing w:before="0" w:after="160"/>
        <w:ind w:left="-567"/>
        <w:jc w:val="both"/>
        <w:rPr>
          <w:rFonts w:ascii="Times New Roman" w:hAnsi="Times New Roman" w:eastAsia="Calibri" w:cs="Times New Roman"/>
          <w:bCs/>
          <w:sz w:val="24"/>
          <w:szCs w:val="24"/>
          <w:lang w:val="pt-BR"/>
        </w:rPr>
      </w:pPr>
      <w:r>
        <w:rPr>
          <w:rFonts w:eastAsia="Calibri" w:cs="Times New Roman" w:ascii="Times New Roman" w:hAnsi="Times New Roman"/>
          <w:bCs/>
          <w:sz w:val="24"/>
          <w:szCs w:val="24"/>
          <w:lang w:val="pt-BR"/>
        </w:rPr>
        <w:t xml:space="preserve">Devido a pequena dimensão do hospital e ao número insuficiente de pessoal, a farmácia funciona de forma a controlar todas as entradas e saídas, não só de medicamentos, como de equipamentos. Por este motivo foi criado um depósito de medicamentos e adquiridas prateleiras para melhor arrumação e armazenamento, assim como a aquisição de um sistema de gestão de stocks e a montagem de 2 contentores.  </w:t>
      </w:r>
    </w:p>
    <w:p>
      <w:pPr>
        <w:pStyle w:val="Normal"/>
        <w:spacing w:before="0" w:after="0"/>
        <w:ind w:left="-567"/>
        <w:jc w:val="both"/>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t>De realçar que se continua a fornecer os kit’s pós cirúrgicos a todos os pacientes submetidos a grandes e pequenas cirurgias, a maior parte de colírios hipotensores ou  anti-glaucomatosos, dentro destes os recomendados pela OMS, como o Maleato de Timolol 0.5%, o Latanoprost 0.05% e a Brimomidina 0.2%, assim como a quase totalidade dos pacientes provenientes da consulta externa e urgência. De realçar que se elaboraram algumas estratégias para diminuir os gastos com hipotensores oculares (doentes provenientes de outras instituições, quer sejam públicas ou privadas, através do BU, têm acesso a receitas apenas para aquisição grátis dos colírios), como o uso de laser no glaucoma.</w:t>
      </w:r>
    </w:p>
    <w:p>
      <w:pPr>
        <w:pStyle w:val="Normal"/>
        <w:spacing w:before="0" w:after="0"/>
        <w:ind w:left="-567"/>
        <w:jc w:val="both"/>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t xml:space="preserve"> </w:t>
      </w:r>
    </w:p>
    <w:p>
      <w:pPr>
        <w:pStyle w:val="Normal"/>
        <w:spacing w:before="0" w:after="0"/>
        <w:ind w:left="-567"/>
        <w:jc w:val="both"/>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t>Em anexo, quadros contendo o consumo mensal e doações.</w:t>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Normal"/>
        <w:spacing w:before="0" w:after="0"/>
        <w:ind w:left="-567"/>
        <w:jc w:val="both"/>
        <w:rPr>
          <w:rFonts w:ascii="Times New Roman" w:hAnsi="Times New Roman" w:eastAsia="Calibri" w:cs="Times New Roman"/>
          <w:color w:val="00B050"/>
          <w:sz w:val="24"/>
          <w:szCs w:val="24"/>
          <w:lang w:val="pt-BR"/>
        </w:rPr>
      </w:pPr>
      <w:r>
        <w:rPr>
          <w:rFonts w:eastAsia="Calibri" w:cs="Times New Roman" w:ascii="Times New Roman" w:hAnsi="Times New Roman"/>
          <w:color w:val="00B050"/>
          <w:sz w:val="24"/>
          <w:szCs w:val="24"/>
          <w:lang w:val="pt-BR"/>
        </w:rPr>
      </w:r>
    </w:p>
    <w:p>
      <w:pPr>
        <w:pStyle w:val="font6"/>
        <w:spacing w:lineRule="auto" w:line="276" w:before="280" w:after="280"/>
        <w:ind w:left="-567"/>
        <w:rPr>
          <w:rFonts w:ascii="Times New Roman" w:hAnsi="Times New Roman" w:cs="Times New Roman"/>
          <w:sz w:val="24"/>
          <w:szCs w:val="24"/>
          <w:u w:val="single"/>
        </w:rPr>
      </w:pPr>
      <w:r>
        <w:rPr>
          <w:rFonts w:cs="Times New Roman" w:ascii="Times New Roman" w:hAnsi="Times New Roman"/>
          <w:sz w:val="24"/>
          <w:szCs w:val="24"/>
        </w:rPr>
        <w:t xml:space="preserve">6.  </w:t>
      </w:r>
      <w:r>
        <w:rPr>
          <w:rFonts w:cs="Times New Roman" w:ascii="Times New Roman" w:hAnsi="Times New Roman"/>
          <w:sz w:val="24"/>
          <w:szCs w:val="24"/>
          <w:u w:val="single"/>
        </w:rPr>
        <w:t>CONSTRANGIMENTOS</w:t>
      </w:r>
    </w:p>
    <w:p>
      <w:pPr>
        <w:pStyle w:val="ListParagraph"/>
        <w:ind w:left="-142"/>
        <w:jc w:val="both"/>
        <w:rPr>
          <w:rFonts w:ascii="Times New Roman" w:hAnsi="Times New Roman"/>
          <w:bCs/>
          <w:sz w:val="24"/>
          <w:szCs w:val="24"/>
        </w:rPr>
      </w:pPr>
      <w:r>
        <w:rPr>
          <w:rFonts w:ascii="Times New Roman" w:hAnsi="Times New Roman"/>
          <w:bCs/>
          <w:sz w:val="24"/>
          <w:szCs w:val="24"/>
        </w:rPr>
        <w:t>1. O principal e maior constrangimento é a pequena estrutura do Hospital, pelas razões abaixo enumeradas:</w:t>
      </w:r>
    </w:p>
    <w:p>
      <w:pPr>
        <w:pStyle w:val="ListParagraph"/>
        <w:ind w:left="-567"/>
        <w:jc w:val="both"/>
        <w:rPr>
          <w:rFonts w:ascii="Times New Roman" w:hAnsi="Times New Roman"/>
          <w:bCs/>
          <w:sz w:val="24"/>
          <w:szCs w:val="24"/>
        </w:rPr>
      </w:pPr>
      <w:r>
        <w:rPr>
          <w:rFonts w:ascii="Times New Roman" w:hAnsi="Times New Roman"/>
          <w:bCs/>
          <w:sz w:val="24"/>
          <w:szCs w:val="24"/>
        </w:rPr>
      </w:r>
    </w:p>
    <w:p>
      <w:pPr>
        <w:pStyle w:val="ListParagraph"/>
        <w:numPr>
          <w:ilvl w:val="0"/>
          <w:numId w:val="8"/>
        </w:numPr>
        <w:jc w:val="both"/>
        <w:rPr>
          <w:rFonts w:ascii="Times New Roman" w:hAnsi="Times New Roman"/>
          <w:sz w:val="24"/>
          <w:szCs w:val="24"/>
        </w:rPr>
      </w:pPr>
      <w:r>
        <w:rPr>
          <w:rFonts w:ascii="Times New Roman" w:hAnsi="Times New Roman"/>
          <w:sz w:val="24"/>
          <w:szCs w:val="24"/>
        </w:rPr>
        <w:t xml:space="preserve">Demanda crescente de utentes: são recebidos  numerosos pacientes do Sistema Nacional de Saúde a nível nacional,  para consultas de subespecialidade, exames complementares e cirurgias. De realçar que cerca de 80 % são enviados do Nível Primário de Atenção, devido a inexistência de um programa de Cuidados Oculares Primários (COP); </w:t>
      </w:r>
    </w:p>
    <w:p>
      <w:pPr>
        <w:pStyle w:val="ListParagraph"/>
        <w:ind w:left="153"/>
        <w:jc w:val="both"/>
        <w:rPr>
          <w:rFonts w:ascii="Times New Roman" w:hAnsi="Times New Roman"/>
          <w:sz w:val="24"/>
          <w:szCs w:val="24"/>
        </w:rPr>
      </w:pPr>
      <w:r>
        <w:rPr>
          <w:rFonts w:ascii="Times New Roman" w:hAnsi="Times New Roman"/>
          <w:sz w:val="24"/>
          <w:szCs w:val="24"/>
        </w:rPr>
        <w:t xml:space="preserve"> </w:t>
      </w:r>
    </w:p>
    <w:p>
      <w:pPr>
        <w:pStyle w:val="ListParagraph"/>
        <w:numPr>
          <w:ilvl w:val="0"/>
          <w:numId w:val="8"/>
        </w:numPr>
        <w:jc w:val="both"/>
        <w:rPr>
          <w:rFonts w:ascii="Times New Roman" w:hAnsi="Times New Roman"/>
          <w:sz w:val="24"/>
          <w:szCs w:val="24"/>
        </w:rPr>
      </w:pPr>
      <w:r>
        <w:rPr>
          <w:rFonts w:ascii="Times New Roman" w:hAnsi="Times New Roman"/>
          <w:sz w:val="24"/>
          <w:szCs w:val="24"/>
        </w:rPr>
        <w:t>Degradação paulatina da infraestrutura, com incidentes cada vez mais frequentes, como os pequenos incêndios nos quadros eléctricos devido a sobrecarga provocada pelo aumento de equipamentos e rupturas na rede de água;</w:t>
      </w:r>
    </w:p>
    <w:p>
      <w:pPr>
        <w:pStyle w:val="ListParagraph"/>
        <w:rPr>
          <w:rFonts w:ascii="Times New Roman" w:hAnsi="Times New Roman"/>
          <w:sz w:val="24"/>
          <w:szCs w:val="24"/>
        </w:rPr>
      </w:pPr>
      <w:r>
        <w:rPr>
          <w:rFonts w:ascii="Times New Roman" w:hAnsi="Times New Roman"/>
          <w:sz w:val="24"/>
          <w:szCs w:val="24"/>
        </w:rPr>
      </w:r>
    </w:p>
    <w:p>
      <w:pPr>
        <w:pStyle w:val="ListParagraph"/>
        <w:numPr>
          <w:ilvl w:val="0"/>
          <w:numId w:val="8"/>
        </w:numPr>
        <w:jc w:val="both"/>
        <w:rPr>
          <w:rFonts w:ascii="Times New Roman" w:hAnsi="Times New Roman"/>
          <w:bCs/>
          <w:sz w:val="24"/>
          <w:szCs w:val="24"/>
        </w:rPr>
      </w:pPr>
      <w:r>
        <w:rPr>
          <w:rFonts w:ascii="Times New Roman" w:hAnsi="Times New Roman"/>
          <w:bCs/>
          <w:sz w:val="24"/>
          <w:szCs w:val="24"/>
        </w:rPr>
        <w:t>A única enfermaria que deveria servir para internamento, principalmente para  crianças a serem submetidas à  cirurgia sob anestesia geral, é usada como  sala pré e pós operatória e internamento/ hospedagem, chegando inclusive a albergar famílias  de  pacientes provenientes de outras províncias, tendo estes por vezes que permanecerem ao relento durante a actividade assistencial ;</w:t>
      </w:r>
    </w:p>
    <w:p>
      <w:pPr>
        <w:pStyle w:val="ListParagraph"/>
        <w:rPr>
          <w:rFonts w:ascii="Times New Roman" w:hAnsi="Times New Roman"/>
          <w:sz w:val="24"/>
          <w:szCs w:val="24"/>
        </w:rPr>
      </w:pPr>
      <w:r>
        <w:rPr>
          <w:rFonts w:ascii="Times New Roman" w:hAnsi="Times New Roman"/>
          <w:sz w:val="24"/>
          <w:szCs w:val="24"/>
        </w:rPr>
      </w:r>
    </w:p>
    <w:p>
      <w:pPr>
        <w:pStyle w:val="ListParagraph"/>
        <w:numPr>
          <w:ilvl w:val="0"/>
          <w:numId w:val="8"/>
        </w:numPr>
        <w:ind w:hanging="360" w:left="99"/>
        <w:jc w:val="both"/>
        <w:rPr>
          <w:rFonts w:ascii="Times New Roman" w:hAnsi="Times New Roman"/>
          <w:bCs/>
          <w:sz w:val="24"/>
          <w:szCs w:val="24"/>
        </w:rPr>
      </w:pPr>
      <w:r>
        <w:rPr>
          <w:rFonts w:ascii="Times New Roman" w:hAnsi="Times New Roman"/>
          <w:sz w:val="24"/>
          <w:szCs w:val="24"/>
        </w:rPr>
        <w:t>Impossibilidade de instalar um software de gestão hospitalar, o que faz com que não se consiga o controlo efectivo de várias situações, entre elas o de stock de medicamentos e consumíveis (ex: em 3 meses, triplicou o consumo de hipotensores oculares, que, como se sabe, são extremamente onerosos);</w:t>
      </w:r>
    </w:p>
    <w:p>
      <w:pPr>
        <w:pStyle w:val="ListParagraph"/>
        <w:rPr>
          <w:rFonts w:ascii="Times New Roman" w:hAnsi="Times New Roman"/>
          <w:sz w:val="24"/>
          <w:szCs w:val="24"/>
        </w:rPr>
      </w:pPr>
      <w:r>
        <w:rPr>
          <w:rFonts w:ascii="Times New Roman" w:hAnsi="Times New Roman"/>
          <w:sz w:val="24"/>
          <w:szCs w:val="24"/>
        </w:rPr>
      </w:r>
    </w:p>
    <w:p>
      <w:pPr>
        <w:pStyle w:val="ListParagraph"/>
        <w:numPr>
          <w:ilvl w:val="0"/>
          <w:numId w:val="8"/>
        </w:numPr>
        <w:ind w:hanging="360" w:left="99"/>
        <w:jc w:val="both"/>
        <w:rPr>
          <w:rFonts w:ascii="Times New Roman" w:hAnsi="Times New Roman"/>
          <w:bCs/>
          <w:sz w:val="24"/>
          <w:szCs w:val="24"/>
        </w:rPr>
      </w:pPr>
      <w:r>
        <w:rPr>
          <w:rFonts w:ascii="Times New Roman" w:hAnsi="Times New Roman"/>
          <w:sz w:val="24"/>
          <w:szCs w:val="24"/>
        </w:rPr>
        <w:t xml:space="preserve"> </w:t>
      </w:r>
      <w:r>
        <w:rPr>
          <w:rFonts w:ascii="Times New Roman" w:hAnsi="Times New Roman"/>
          <w:sz w:val="24"/>
          <w:szCs w:val="24"/>
        </w:rPr>
        <w:t xml:space="preserve">Sobrecarga dos profissionais, com queda na qualidade de atendimento,  com maior risco assistencial (maior probabilidade de erros e de não seguir os protocolos), com pressão assistencial devido ao tempo de espera, reclamações, etc; </w:t>
      </w:r>
    </w:p>
    <w:p>
      <w:pPr>
        <w:pStyle w:val="ListParagraph"/>
        <w:rPr>
          <w:rFonts w:ascii="Times New Roman" w:hAnsi="Times New Roman"/>
          <w:bCs/>
          <w:sz w:val="24"/>
          <w:szCs w:val="24"/>
        </w:rPr>
      </w:pPr>
      <w:r>
        <w:rPr>
          <w:rFonts w:ascii="Times New Roman" w:hAnsi="Times New Roman"/>
          <w:bCs/>
          <w:sz w:val="24"/>
          <w:szCs w:val="24"/>
        </w:rPr>
      </w:r>
    </w:p>
    <w:p>
      <w:pPr>
        <w:pStyle w:val="ListParagraph"/>
        <w:numPr>
          <w:ilvl w:val="0"/>
          <w:numId w:val="8"/>
        </w:numPr>
        <w:jc w:val="both"/>
        <w:rPr>
          <w:rFonts w:ascii="Times New Roman" w:hAnsi="Times New Roman"/>
          <w:bCs/>
          <w:sz w:val="24"/>
          <w:szCs w:val="24"/>
        </w:rPr>
      </w:pPr>
      <w:r>
        <w:rPr>
          <w:rFonts w:ascii="Times New Roman" w:hAnsi="Times New Roman"/>
          <w:bCs/>
          <w:sz w:val="24"/>
          <w:szCs w:val="24"/>
        </w:rPr>
        <w:t xml:space="preserve">Falta gritante de pessoal, havendo necessidade de contratação de mais pessoal do regime geral e especial, de TDT como engenheiros de electromedicina, estatísticos sanitários e mais  médicos expatriados nalgumas subespecialidades em falta no nosso país; </w:t>
      </w:r>
    </w:p>
    <w:p>
      <w:pPr>
        <w:pStyle w:val="ListParagraph"/>
        <w:rPr>
          <w:rFonts w:ascii="Times New Roman" w:hAnsi="Times New Roman"/>
          <w:bCs/>
          <w:sz w:val="24"/>
          <w:szCs w:val="24"/>
        </w:rPr>
      </w:pPr>
      <w:r>
        <w:rPr>
          <w:rFonts w:ascii="Times New Roman" w:hAnsi="Times New Roman"/>
          <w:bCs/>
          <w:sz w:val="24"/>
          <w:szCs w:val="24"/>
        </w:rPr>
      </w:r>
    </w:p>
    <w:p>
      <w:pPr>
        <w:pStyle w:val="ListParagraph"/>
        <w:numPr>
          <w:ilvl w:val="0"/>
          <w:numId w:val="8"/>
        </w:numPr>
        <w:jc w:val="both"/>
        <w:rPr>
          <w:rFonts w:ascii="Times New Roman" w:hAnsi="Times New Roman"/>
          <w:bCs/>
          <w:sz w:val="24"/>
          <w:szCs w:val="24"/>
        </w:rPr>
      </w:pPr>
      <w:r>
        <w:rPr>
          <w:rFonts w:ascii="Times New Roman" w:hAnsi="Times New Roman"/>
          <w:sz w:val="24"/>
          <w:szCs w:val="24"/>
        </w:rPr>
        <w:t>Outro constrangimento que pode perigar a reputação do hospital, é o nº crescente de casos de extorsão de valores por parte de elementos até agora não identificados, desaparecimento de  instrumental cirúrgico e sutura oftálmica,</w:t>
      </w:r>
      <w:r>
        <w:rPr/>
        <w:t xml:space="preserve"> </w:t>
      </w:r>
      <w:r>
        <w:rPr>
          <w:rFonts w:ascii="Times New Roman" w:hAnsi="Times New Roman"/>
          <w:sz w:val="24"/>
          <w:szCs w:val="24"/>
        </w:rPr>
        <w:t xml:space="preserve">apesar de criadas as condiçoes para controlo (câmaras de videovigilância, detector de metais, etc) aliadas a denúncias ao SIC e Inspecção de Saúde. Importa realçar que o IONA, para além dos seus efectivos, tem numerosos  médicos internos, assim como enfermeiros em especialização, estagiários, etc. de outras instituições; </w:t>
      </w:r>
    </w:p>
    <w:p>
      <w:pPr>
        <w:pStyle w:val="ListParagraph"/>
        <w:rPr>
          <w:rFonts w:ascii="Times New Roman" w:hAnsi="Times New Roman"/>
          <w:bCs/>
          <w:sz w:val="24"/>
          <w:szCs w:val="24"/>
        </w:rPr>
      </w:pPr>
      <w:r>
        <w:rPr>
          <w:rFonts w:ascii="Times New Roman" w:hAnsi="Times New Roman"/>
          <w:bCs/>
          <w:sz w:val="24"/>
          <w:szCs w:val="24"/>
        </w:rPr>
      </w:r>
    </w:p>
    <w:p>
      <w:pPr>
        <w:pStyle w:val="ListParagraph"/>
        <w:numPr>
          <w:ilvl w:val="0"/>
          <w:numId w:val="8"/>
        </w:numPr>
        <w:ind w:hanging="360" w:left="99"/>
        <w:jc w:val="both"/>
        <w:rPr>
          <w:rFonts w:ascii="Times New Roman" w:hAnsi="Times New Roman"/>
          <w:bCs/>
          <w:sz w:val="24"/>
          <w:szCs w:val="24"/>
        </w:rPr>
      </w:pPr>
      <w:r>
        <w:rPr>
          <w:rFonts w:ascii="Times New Roman" w:hAnsi="Times New Roman"/>
          <w:bCs/>
          <w:sz w:val="24"/>
          <w:szCs w:val="24"/>
        </w:rPr>
        <w:t>Aumento de pedidos de relatórios médicos de pacientes enviados para peritagem médica, somados aos dos pacientes que acorrem ao BU por trauma de causas diversas, geralmente agressão física, presença diária nos corredores de presos algemados acompanhados por guardas prisionais, apesar do serviço de oftalmologia do H. Militar Central já estar em pleno funcionamento.</w:t>
      </w:r>
    </w:p>
    <w:p>
      <w:pPr>
        <w:pStyle w:val="EMPTYCELLSTYLE"/>
        <w:ind w:left="-567"/>
        <w:rPr>
          <w:rFonts w:eastAsia="Calibri"/>
          <w:lang w:val="pt-BR"/>
        </w:rPr>
      </w:pPr>
      <w:r>
        <w:rPr>
          <w:rFonts w:eastAsia="Calibri"/>
          <w:lang w:val="pt-BR"/>
        </w:rPr>
      </w:r>
    </w:p>
    <w:p>
      <w:pPr>
        <w:pStyle w:val="Normal"/>
        <w:spacing w:before="0" w:after="200"/>
        <w:ind w:left="-567"/>
        <w:contextualSpacing/>
        <w:jc w:val="both"/>
        <w:rPr>
          <w:rFonts w:ascii="Times New Roman" w:hAnsi="Times New Roman" w:eastAsia="Calibri" w:cs="Times New Roman"/>
          <w:b/>
          <w:sz w:val="24"/>
          <w:szCs w:val="24"/>
          <w:u w:val="single"/>
        </w:rPr>
      </w:pPr>
      <w:r>
        <w:rPr>
          <w:rFonts w:eastAsia="Calibri" w:cs="Times New Roman" w:ascii="Times New Roman" w:hAnsi="Times New Roman"/>
          <w:b/>
          <w:sz w:val="24"/>
          <w:szCs w:val="24"/>
        </w:rPr>
        <w:t xml:space="preserve">7. </w:t>
      </w:r>
      <w:r>
        <w:rPr>
          <w:rFonts w:eastAsia="Calibri" w:cs="Times New Roman" w:ascii="Times New Roman" w:hAnsi="Times New Roman"/>
          <w:b/>
          <w:sz w:val="24"/>
          <w:szCs w:val="24"/>
          <w:u w:val="single"/>
        </w:rPr>
        <w:t>PERSPECTIVAS PARA O FUTURO</w:t>
      </w:r>
    </w:p>
    <w:p>
      <w:pPr>
        <w:pStyle w:val="Normal"/>
        <w:spacing w:before="0" w:after="200"/>
        <w:ind w:left="-567"/>
        <w:contextualSpacing/>
        <w:jc w:val="both"/>
        <w:rPr>
          <w:rFonts w:ascii="Times New Roman" w:hAnsi="Times New Roman" w:eastAsia="Calibri" w:cs="Times New Roman"/>
          <w:sz w:val="24"/>
          <w:szCs w:val="24"/>
        </w:rPr>
      </w:pPr>
      <w:r>
        <w:rPr>
          <w:rFonts w:eastAsia="Calibri" w:cs="Times New Roman" w:ascii="Times New Roman" w:hAnsi="Times New Roman"/>
          <w:sz w:val="24"/>
          <w:szCs w:val="24"/>
        </w:rPr>
      </w:r>
    </w:p>
    <w:p>
      <w:pPr>
        <w:pStyle w:val="ListParagraph"/>
        <w:numPr>
          <w:ilvl w:val="0"/>
          <w:numId w:val="9"/>
        </w:numPr>
        <w:ind w:hanging="0" w:left="-142"/>
        <w:jc w:val="both"/>
        <w:rPr>
          <w:rFonts w:ascii="Times New Roman" w:hAnsi="Times New Roman"/>
          <w:sz w:val="24"/>
          <w:szCs w:val="24"/>
        </w:rPr>
      </w:pPr>
      <w:r>
        <w:rPr>
          <w:rFonts w:ascii="Times New Roman" w:hAnsi="Times New Roman"/>
          <w:sz w:val="24"/>
          <w:szCs w:val="24"/>
        </w:rPr>
        <w:t>Aguarda-se com grande expectativa a mudança para a nova instalação do IONA, ainda que        provisória, uma vez que a actual  já não comporta nem os RH, tecnologia e demanada de pacientes;  assim como a construção imediata de uma porta  de emergência anti-fogo no BO;</w:t>
      </w:r>
    </w:p>
    <w:p>
      <w:pPr>
        <w:pStyle w:val="ListParagraph"/>
        <w:ind w:left="-142"/>
        <w:jc w:val="both"/>
        <w:rPr>
          <w:rFonts w:ascii="Times New Roman" w:hAnsi="Times New Roman"/>
          <w:sz w:val="24"/>
          <w:szCs w:val="24"/>
        </w:rPr>
      </w:pPr>
      <w:r>
        <w:rPr>
          <w:rFonts w:ascii="Times New Roman" w:hAnsi="Times New Roman"/>
          <w:sz w:val="24"/>
          <w:szCs w:val="24"/>
        </w:rPr>
      </w:r>
    </w:p>
    <w:p>
      <w:pPr>
        <w:pStyle w:val="ListParagraph"/>
        <w:numPr>
          <w:ilvl w:val="0"/>
          <w:numId w:val="9"/>
        </w:numPr>
        <w:ind w:hanging="0" w:left="-142"/>
        <w:jc w:val="both"/>
        <w:rPr>
          <w:rFonts w:ascii="Times New Roman" w:hAnsi="Times New Roman"/>
          <w:sz w:val="24"/>
          <w:szCs w:val="24"/>
        </w:rPr>
      </w:pPr>
      <w:r>
        <w:rPr>
          <w:rFonts w:ascii="Times New Roman" w:hAnsi="Times New Roman"/>
          <w:sz w:val="24"/>
          <w:szCs w:val="24"/>
        </w:rPr>
        <w:t>Implementação de um sistema de Gestão Hospital, embora a actual infraestrutura não esteja preparada para tal ecom o tempo, devido a demanda, ter um sistema de tele- consultas;</w:t>
      </w:r>
    </w:p>
    <w:p>
      <w:pPr>
        <w:pStyle w:val="ListParagraph"/>
        <w:ind w:left="-142"/>
        <w:rPr>
          <w:rFonts w:ascii="Times New Roman" w:hAnsi="Times New Roman"/>
          <w:sz w:val="24"/>
          <w:szCs w:val="24"/>
        </w:rPr>
      </w:pPr>
      <w:r>
        <w:rPr>
          <w:rFonts w:ascii="Times New Roman" w:hAnsi="Times New Roman"/>
          <w:sz w:val="24"/>
          <w:szCs w:val="24"/>
        </w:rPr>
      </w:r>
    </w:p>
    <w:p>
      <w:pPr>
        <w:pStyle w:val="ListParagraph"/>
        <w:numPr>
          <w:ilvl w:val="0"/>
          <w:numId w:val="9"/>
        </w:numPr>
        <w:ind w:hanging="0" w:left="-142"/>
        <w:jc w:val="both"/>
        <w:rPr>
          <w:rFonts w:ascii="Times New Roman" w:hAnsi="Times New Roman"/>
          <w:sz w:val="24"/>
          <w:szCs w:val="24"/>
        </w:rPr>
      </w:pPr>
      <w:r>
        <w:rPr>
          <w:rFonts w:ascii="Times New Roman" w:hAnsi="Times New Roman"/>
          <w:sz w:val="24"/>
          <w:szCs w:val="24"/>
        </w:rPr>
        <w:t>Continuar  a ser  um polo de formação, recebendo candidatos de outras instituições do Sistema Nacional de Saúde para internato médico, enfermagem oftalmológica e outros estágios como cirúrgicos;</w:t>
      </w:r>
    </w:p>
    <w:p>
      <w:pPr>
        <w:pStyle w:val="ListParagraph"/>
        <w:ind w:left="-142"/>
        <w:rPr>
          <w:rFonts w:ascii="Times New Roman" w:hAnsi="Times New Roman"/>
          <w:sz w:val="24"/>
          <w:szCs w:val="24"/>
        </w:rPr>
      </w:pPr>
      <w:r>
        <w:rPr>
          <w:rFonts w:ascii="Times New Roman" w:hAnsi="Times New Roman"/>
          <w:sz w:val="24"/>
          <w:szCs w:val="24"/>
        </w:rPr>
      </w:r>
    </w:p>
    <w:p>
      <w:pPr>
        <w:pStyle w:val="ListParagraph"/>
        <w:numPr>
          <w:ilvl w:val="0"/>
          <w:numId w:val="9"/>
        </w:numPr>
        <w:ind w:hanging="0" w:left="-142"/>
        <w:jc w:val="both"/>
        <w:rPr>
          <w:rFonts w:ascii="Times New Roman" w:hAnsi="Times New Roman"/>
          <w:sz w:val="24"/>
          <w:szCs w:val="24"/>
        </w:rPr>
      </w:pPr>
      <w:r>
        <w:rPr>
          <w:rFonts w:ascii="Times New Roman" w:hAnsi="Times New Roman"/>
          <w:sz w:val="24"/>
          <w:szCs w:val="24"/>
        </w:rPr>
        <w:t>Aquisição de algum equipamento como oftalmoscópios directos e indirectos, lentes indirectas de diagnóstico, retinógrafo de campo amplo e outros, devido a que a grande demanda assistencial, o nº elevado de internos e as campanhas fazem  com que os aparelhos tenham vida útil mais curta.</w:t>
      </w:r>
    </w:p>
    <w:p>
      <w:pPr>
        <w:pStyle w:val="ListParagraph"/>
        <w:ind w:left="-142"/>
        <w:rPr>
          <w:rFonts w:ascii="Times New Roman" w:hAnsi="Times New Roman"/>
          <w:sz w:val="24"/>
          <w:szCs w:val="24"/>
        </w:rPr>
      </w:pPr>
      <w:r>
        <w:rPr>
          <w:rFonts w:ascii="Times New Roman" w:hAnsi="Times New Roman"/>
          <w:sz w:val="24"/>
          <w:szCs w:val="24"/>
        </w:rPr>
      </w:r>
    </w:p>
    <w:p>
      <w:pPr>
        <w:pStyle w:val="ListParagraph"/>
        <w:numPr>
          <w:ilvl w:val="0"/>
          <w:numId w:val="9"/>
        </w:numPr>
        <w:ind w:hanging="0" w:left="-142"/>
        <w:jc w:val="both"/>
        <w:rPr>
          <w:rFonts w:ascii="Times New Roman" w:hAnsi="Times New Roman"/>
          <w:sz w:val="24"/>
          <w:szCs w:val="24"/>
        </w:rPr>
      </w:pPr>
      <w:r>
        <w:rPr>
          <w:rFonts w:ascii="Times New Roman" w:hAnsi="Times New Roman"/>
          <w:sz w:val="24"/>
          <w:szCs w:val="24"/>
        </w:rPr>
        <w:t>Aquisição de um OCT de Segmento anterior ou Pentacam, para realização de cross-linking corneal  e implante de aneis estromais para o tratamento do Queratocone inicial a moderado, uma vez que esta patologia é a nível de Oftalmologia a causa mais frequente de evacuação.</w:t>
      </w:r>
      <w:r>
        <w:rPr/>
        <w:t xml:space="preserve"> </w:t>
      </w:r>
    </w:p>
    <w:p>
      <w:pPr>
        <w:pStyle w:val="ListParagraph"/>
        <w:ind w:left="-142"/>
        <w:rPr>
          <w:rFonts w:ascii="Times New Roman" w:hAnsi="Times New Roman"/>
          <w:sz w:val="24"/>
          <w:szCs w:val="24"/>
        </w:rPr>
      </w:pPr>
      <w:r>
        <w:rPr>
          <w:rFonts w:ascii="Times New Roman" w:hAnsi="Times New Roman"/>
          <w:sz w:val="24"/>
          <w:szCs w:val="24"/>
        </w:rPr>
      </w:r>
    </w:p>
    <w:p>
      <w:pPr>
        <w:pStyle w:val="ListParagraph"/>
        <w:numPr>
          <w:ilvl w:val="0"/>
          <w:numId w:val="9"/>
        </w:numPr>
        <w:ind w:hanging="0" w:left="-142"/>
        <w:jc w:val="both"/>
        <w:rPr>
          <w:rFonts w:ascii="Times New Roman" w:hAnsi="Times New Roman"/>
          <w:sz w:val="24"/>
          <w:szCs w:val="24"/>
        </w:rPr>
      </w:pPr>
      <w:r>
        <w:rPr>
          <w:rFonts w:ascii="Times New Roman" w:hAnsi="Times New Roman"/>
          <w:sz w:val="24"/>
          <w:szCs w:val="24"/>
        </w:rPr>
        <w:t>Manter e estender as campanhas Rastreio Visual  e de Cirurgia de catarata as outras províncias, primeiro por inexistência dos COP, levando a saúde ocular à população e em segundo lugar, pela falta de cirurgiões de segmento anterior e catarata no país, estender os rastreios  à escolas primárias para pesquisa de Baixa Visão (seja por Ametropias, Ambliopia ou Estrabismo) e rastreio de retinoblastoma (RB) para tratamento precoce;</w:t>
      </w:r>
    </w:p>
    <w:p>
      <w:pPr>
        <w:pStyle w:val="ListParagraph"/>
        <w:ind w:left="-142"/>
        <w:rPr>
          <w:rFonts w:ascii="Times New Roman" w:hAnsi="Times New Roman"/>
          <w:sz w:val="24"/>
          <w:szCs w:val="24"/>
        </w:rPr>
      </w:pPr>
      <w:r>
        <w:rPr>
          <w:rFonts w:ascii="Times New Roman" w:hAnsi="Times New Roman"/>
          <w:sz w:val="24"/>
          <w:szCs w:val="24"/>
        </w:rPr>
      </w:r>
    </w:p>
    <w:p>
      <w:pPr>
        <w:pStyle w:val="ListParagraph"/>
        <w:numPr>
          <w:ilvl w:val="0"/>
          <w:numId w:val="9"/>
        </w:numPr>
        <w:ind w:hanging="0" w:left="-142"/>
        <w:jc w:val="both"/>
        <w:rPr>
          <w:rFonts w:ascii="Times New Roman" w:hAnsi="Times New Roman"/>
          <w:sz w:val="24"/>
          <w:szCs w:val="24"/>
        </w:rPr>
      </w:pPr>
      <w:r>
        <w:rPr>
          <w:rFonts w:ascii="Times New Roman" w:hAnsi="Times New Roman"/>
          <w:sz w:val="24"/>
          <w:szCs w:val="24"/>
        </w:rPr>
        <w:t>Associar aos Rastreios, principalmente nas Feiras da Saúde e em particular no dia Mundial da Diabetes Mellitus, de forma a captar pacientes com</w:t>
      </w:r>
      <w:r>
        <w:rPr/>
        <w:t xml:space="preserve"> </w:t>
      </w:r>
      <w:r>
        <w:rPr>
          <w:rFonts w:ascii="Times New Roman" w:hAnsi="Times New Roman"/>
          <w:sz w:val="24"/>
          <w:szCs w:val="24"/>
        </w:rPr>
        <w:t xml:space="preserve">Retinopatia Diabética, dando a possibilidade de tratamento por  Fotocoagulação Laser.  A par com o glaucoma, é uma das principais causas de  cegueira a nível mundial. </w:t>
      </w:r>
    </w:p>
    <w:p>
      <w:pPr>
        <w:pStyle w:val="ListParagraph"/>
        <w:ind w:left="-142"/>
        <w:rPr>
          <w:rFonts w:ascii="Times New Roman" w:hAnsi="Times New Roman"/>
          <w:sz w:val="24"/>
          <w:szCs w:val="24"/>
        </w:rPr>
      </w:pPr>
      <w:r>
        <w:rPr>
          <w:rFonts w:ascii="Times New Roman" w:hAnsi="Times New Roman"/>
          <w:sz w:val="24"/>
          <w:szCs w:val="24"/>
        </w:rPr>
      </w:r>
    </w:p>
    <w:p>
      <w:pPr>
        <w:pStyle w:val="ListParagraph"/>
        <w:numPr>
          <w:ilvl w:val="0"/>
          <w:numId w:val="9"/>
        </w:numPr>
        <w:ind w:hanging="0" w:left="-142"/>
        <w:jc w:val="both"/>
        <w:rPr>
          <w:rFonts w:ascii="Times New Roman" w:hAnsi="Times New Roman"/>
          <w:sz w:val="24"/>
          <w:szCs w:val="24"/>
        </w:rPr>
      </w:pPr>
      <w:r>
        <w:rPr>
          <w:rFonts w:ascii="Times New Roman" w:hAnsi="Times New Roman"/>
          <w:sz w:val="24"/>
          <w:szCs w:val="24"/>
        </w:rPr>
        <w:t xml:space="preserve">Proceder a aquisição a curto ou médio prazo de um Hospital Móvel; </w:t>
      </w:r>
    </w:p>
    <w:p>
      <w:pPr>
        <w:pStyle w:val="Normal"/>
        <w:spacing w:before="0" w:after="200"/>
        <w:ind w:hanging="45" w:left="-142"/>
        <w:contextualSpacing/>
        <w:jc w:val="both"/>
        <w:rPr>
          <w:rFonts w:ascii="Times New Roman" w:hAnsi="Times New Roman" w:eastAsia="Calibri" w:cs="Times New Roman"/>
          <w:sz w:val="24"/>
          <w:szCs w:val="24"/>
        </w:rPr>
      </w:pPr>
      <w:r>
        <w:rPr>
          <w:rFonts w:eastAsia="Calibri" w:cs="Times New Roman" w:ascii="Times New Roman" w:hAnsi="Times New Roman"/>
          <w:sz w:val="24"/>
          <w:szCs w:val="24"/>
        </w:rPr>
      </w:r>
    </w:p>
    <w:p>
      <w:pPr>
        <w:pStyle w:val="ListParagraph"/>
        <w:spacing w:before="0" w:after="0"/>
        <w:ind w:left="-567"/>
        <w:contextualSpacing/>
        <w:rPr>
          <w:rFonts w:ascii="Times New Roman" w:hAnsi="Times New Roman"/>
          <w:sz w:val="24"/>
          <w:szCs w:val="24"/>
        </w:rPr>
      </w:pPr>
      <w:r>
        <w:rPr>
          <w:rFonts w:ascii="Times New Roman" w:hAnsi="Times New Roman"/>
          <w:sz w:val="24"/>
          <w:szCs w:val="24"/>
        </w:rPr>
      </w:r>
    </w:p>
    <w:p>
      <w:pPr>
        <w:pStyle w:val="ListParagraph"/>
        <w:spacing w:before="0" w:after="0"/>
        <w:ind w:left="-567"/>
        <w:contextualSpacing/>
        <w:rPr>
          <w:rFonts w:ascii="Times New Roman" w:hAnsi="Times New Roman"/>
          <w:sz w:val="24"/>
          <w:szCs w:val="24"/>
        </w:rPr>
      </w:pPr>
      <w:r>
        <w:rPr>
          <w:rFonts w:ascii="Times New Roman" w:hAnsi="Times New Roman"/>
          <w:sz w:val="24"/>
          <w:szCs w:val="24"/>
        </w:rPr>
      </w:r>
    </w:p>
    <w:p>
      <w:pPr>
        <w:pStyle w:val="ListParagraph"/>
        <w:spacing w:before="0" w:after="0"/>
        <w:ind w:left="-567"/>
        <w:contextualSpacing/>
        <w:rPr>
          <w:rFonts w:ascii="Times New Roman" w:hAnsi="Times New Roman"/>
          <w:sz w:val="24"/>
          <w:szCs w:val="24"/>
        </w:rPr>
      </w:pPr>
      <w:r>
        <w:rPr>
          <w:rFonts w:ascii="Times New Roman" w:hAnsi="Times New Roman"/>
          <w:sz w:val="24"/>
          <w:szCs w:val="24"/>
        </w:rPr>
      </w:r>
    </w:p>
    <w:p>
      <w:pPr>
        <w:pStyle w:val="ListParagraph"/>
        <w:spacing w:before="0" w:after="0"/>
        <w:ind w:left="-567"/>
        <w:contextualSpacing/>
        <w:rPr>
          <w:rFonts w:ascii="Times New Roman" w:hAnsi="Times New Roman"/>
          <w:sz w:val="24"/>
          <w:szCs w:val="24"/>
        </w:rPr>
      </w:pPr>
      <w:r>
        <w:rPr>
          <w:rFonts w:ascii="Times New Roman" w:hAnsi="Times New Roman"/>
          <w:sz w:val="24"/>
          <w:szCs w:val="24"/>
        </w:rPr>
      </w:r>
    </w:p>
    <w:p>
      <w:pPr>
        <w:pStyle w:val="ListParagraph"/>
        <w:spacing w:before="0" w:after="0"/>
        <w:ind w:left="-567"/>
        <w:contextualSpacing/>
        <w:rPr>
          <w:rFonts w:ascii="Times New Roman" w:hAnsi="Times New Roman"/>
          <w:sz w:val="24"/>
          <w:szCs w:val="24"/>
        </w:rPr>
      </w:pPr>
      <w:r>
        <w:rPr>
          <w:rFonts w:ascii="Times New Roman" w:hAnsi="Times New Roman"/>
          <w:sz w:val="24"/>
          <w:szCs w:val="24"/>
        </w:rPr>
      </w:r>
    </w:p>
    <w:p>
      <w:pPr>
        <w:pStyle w:val="ListParagraph"/>
        <w:spacing w:before="0" w:after="0"/>
        <w:ind w:left="-567"/>
        <w:contextualSpacing/>
        <w:rPr>
          <w:rFonts w:ascii="Times New Roman" w:hAnsi="Times New Roman"/>
          <w:sz w:val="24"/>
          <w:szCs w:val="24"/>
        </w:rPr>
      </w:pPr>
      <w:r>
        <w:rPr>
          <w:rFonts w:ascii="Times New Roman" w:hAnsi="Times New Roman"/>
          <w:sz w:val="24"/>
          <w:szCs w:val="24"/>
        </w:rPr>
      </w:r>
    </w:p>
    <w:p>
      <w:pPr>
        <w:pStyle w:val="ListParagraph"/>
        <w:spacing w:before="0" w:after="0"/>
        <w:ind w:left="-567"/>
        <w:contextualSpacing/>
        <w:rPr>
          <w:rFonts w:ascii="Times New Roman" w:hAnsi="Times New Roman"/>
          <w:sz w:val="24"/>
          <w:szCs w:val="24"/>
        </w:rPr>
      </w:pPr>
      <w:r>
        <w:rPr>
          <w:rFonts w:ascii="Times New Roman" w:hAnsi="Times New Roman"/>
          <w:sz w:val="24"/>
          <w:szCs w:val="24"/>
        </w:rPr>
      </w:r>
    </w:p>
    <w:p>
      <w:pPr>
        <w:pStyle w:val="ListParagraph"/>
        <w:spacing w:before="0" w:after="0"/>
        <w:ind w:left="-567"/>
        <w:contextualSpacing/>
        <w:rPr>
          <w:rFonts w:ascii="Times New Roman" w:hAnsi="Times New Roman"/>
          <w:sz w:val="24"/>
          <w:szCs w:val="24"/>
        </w:rPr>
      </w:pPr>
      <w:r>
        <w:rPr>
          <w:rFonts w:ascii="Times New Roman" w:hAnsi="Times New Roman"/>
          <w:sz w:val="24"/>
          <w:szCs w:val="24"/>
        </w:rPr>
      </w:r>
    </w:p>
    <w:p>
      <w:pPr>
        <w:pStyle w:val="ListParagraph"/>
        <w:spacing w:before="0" w:after="0"/>
        <w:ind w:left="-567"/>
        <w:contextualSpacing/>
        <w:rPr>
          <w:rFonts w:ascii="Times New Roman" w:hAnsi="Times New Roman"/>
          <w:sz w:val="24"/>
          <w:szCs w:val="24"/>
        </w:rPr>
      </w:pPr>
      <w:r>
        <w:rPr>
          <w:rFonts w:ascii="Times New Roman" w:hAnsi="Times New Roman"/>
          <w:sz w:val="24"/>
          <w:szCs w:val="24"/>
        </w:rPr>
      </w:r>
    </w:p>
    <w:p>
      <w:pPr>
        <w:pStyle w:val="ListParagraph"/>
        <w:spacing w:before="0" w:after="0"/>
        <w:ind w:left="-567"/>
        <w:contextualSpacing/>
        <w:rPr>
          <w:rFonts w:ascii="Times New Roman" w:hAnsi="Times New Roman"/>
          <w:b/>
          <w:sz w:val="24"/>
          <w:szCs w:val="24"/>
          <w:u w:val="single"/>
        </w:rPr>
      </w:pPr>
      <w:r>
        <w:rPr>
          <w:rFonts w:ascii="Times New Roman" w:hAnsi="Times New Roman"/>
          <w:b/>
          <w:sz w:val="24"/>
          <w:szCs w:val="24"/>
        </w:rPr>
        <w:t xml:space="preserve">8. </w:t>
      </w:r>
      <w:r>
        <w:rPr>
          <w:rFonts w:ascii="Times New Roman" w:hAnsi="Times New Roman"/>
          <w:b/>
          <w:sz w:val="24"/>
          <w:szCs w:val="24"/>
          <w:u w:val="single"/>
        </w:rPr>
        <w:t>RECOMENDAÇÕES</w:t>
      </w:r>
    </w:p>
    <w:p>
      <w:pPr>
        <w:pStyle w:val="ListParagraph"/>
        <w:spacing w:before="0" w:after="0"/>
        <w:ind w:left="-567"/>
        <w:contextualSpacing/>
        <w:rPr>
          <w:rFonts w:ascii="Times New Roman" w:hAnsi="Times New Roman"/>
          <w:b/>
          <w:sz w:val="24"/>
          <w:szCs w:val="24"/>
          <w:u w:val="single"/>
        </w:rPr>
      </w:pPr>
      <w:r>
        <w:rPr>
          <w:rFonts w:ascii="Times New Roman" w:hAnsi="Times New Roman"/>
          <w:b/>
          <w:sz w:val="24"/>
          <w:szCs w:val="24"/>
          <w:u w:val="single"/>
        </w:rPr>
      </w:r>
    </w:p>
    <w:p>
      <w:pPr>
        <w:pStyle w:val="ListParagraph"/>
        <w:spacing w:before="0" w:after="0"/>
        <w:ind w:left="-142"/>
        <w:contextualSpacing/>
        <w:jc w:val="both"/>
        <w:rPr>
          <w:rFonts w:ascii="Times New Roman" w:hAnsi="Times New Roman"/>
          <w:sz w:val="24"/>
          <w:szCs w:val="24"/>
        </w:rPr>
      </w:pPr>
      <w:r>
        <w:rPr>
          <w:rFonts w:ascii="Times New Roman" w:hAnsi="Times New Roman"/>
          <w:sz w:val="24"/>
          <w:szCs w:val="24"/>
        </w:rPr>
        <w:t xml:space="preserve">A primeira e que deve  beneficiar de atenção imediata, é a mudança para outras instalações, ainda que  provisórias, uma vez que a actual  já não comporta nem os RH, tecnologia e demanada de pacientes, com mais e melhores condições de funcionamento humanizado  e que possa responder a demanda intensa de pacientes para assistência médico-cirúrgica e solicitações para internato médico, enfermagem oftalmológica e estágios, principalmente cirúrgicos;  </w:t>
      </w:r>
    </w:p>
    <w:p>
      <w:pPr>
        <w:pStyle w:val="ListParagraph"/>
        <w:spacing w:before="0" w:after="0"/>
        <w:ind w:left="-142"/>
        <w:contextualSpacing/>
        <w:jc w:val="both"/>
        <w:rPr>
          <w:rFonts w:ascii="Times New Roman" w:hAnsi="Times New Roman"/>
          <w:sz w:val="24"/>
          <w:szCs w:val="24"/>
        </w:rPr>
      </w:pPr>
      <w:r>
        <w:rPr>
          <w:rFonts w:ascii="Times New Roman" w:hAnsi="Times New Roman"/>
          <w:sz w:val="24"/>
          <w:szCs w:val="24"/>
        </w:rPr>
      </w:r>
    </w:p>
    <w:p>
      <w:pPr>
        <w:pStyle w:val="ListParagraph"/>
        <w:spacing w:before="0" w:after="0"/>
        <w:ind w:left="-142"/>
        <w:contextualSpacing/>
        <w:jc w:val="both"/>
        <w:rPr>
          <w:rFonts w:ascii="Times New Roman" w:hAnsi="Times New Roman"/>
          <w:sz w:val="24"/>
          <w:szCs w:val="24"/>
        </w:rPr>
      </w:pPr>
      <w:r>
        <w:rPr>
          <w:rFonts w:ascii="Times New Roman" w:hAnsi="Times New Roman"/>
          <w:sz w:val="24"/>
          <w:szCs w:val="24"/>
        </w:rPr>
        <w:t>Minimizar o risco de acidentes com a construção de um alpendre exterior com bancos fixos e quebra - molas nas esquinas do hospital, de forma a acomodar os pacientes que aguardam sentados a beira da estrada;</w:t>
      </w:r>
    </w:p>
    <w:p>
      <w:pPr>
        <w:pStyle w:val="ListParagraph"/>
        <w:spacing w:before="0" w:after="0"/>
        <w:ind w:left="-142"/>
        <w:contextualSpacing/>
        <w:jc w:val="both"/>
        <w:rPr>
          <w:rFonts w:ascii="Times New Roman" w:hAnsi="Times New Roman"/>
          <w:sz w:val="24"/>
          <w:szCs w:val="24"/>
        </w:rPr>
      </w:pPr>
      <w:r>
        <w:rPr>
          <w:rFonts w:ascii="Times New Roman" w:hAnsi="Times New Roman"/>
          <w:sz w:val="24"/>
          <w:szCs w:val="24"/>
        </w:rPr>
      </w:r>
    </w:p>
    <w:p>
      <w:pPr>
        <w:pStyle w:val="ListParagraph"/>
        <w:spacing w:before="0" w:after="0"/>
        <w:ind w:left="-142"/>
        <w:contextualSpacing/>
        <w:jc w:val="both"/>
        <w:rPr>
          <w:rFonts w:ascii="Times New Roman" w:hAnsi="Times New Roman"/>
          <w:sz w:val="24"/>
          <w:szCs w:val="24"/>
        </w:rPr>
      </w:pPr>
      <w:r>
        <w:rPr>
          <w:rFonts w:ascii="Times New Roman" w:hAnsi="Times New Roman"/>
          <w:sz w:val="24"/>
          <w:szCs w:val="24"/>
        </w:rPr>
        <w:t xml:space="preserve">O IONA, junto com DNH e IES, deve visitar as principais instituições de formação, que possuem idoneidade formativa parcial, de  forma a identificar e ultrapassar os constrangimentos para que possam adquirir as valências necessárias para formação integral dos internos;  </w:t>
      </w:r>
    </w:p>
    <w:p>
      <w:pPr>
        <w:pStyle w:val="ListParagraph"/>
        <w:spacing w:before="0" w:after="0"/>
        <w:ind w:left="-142"/>
        <w:contextualSpacing/>
        <w:jc w:val="both"/>
        <w:rPr>
          <w:rFonts w:ascii="Times New Roman" w:hAnsi="Times New Roman"/>
          <w:sz w:val="24"/>
          <w:szCs w:val="24"/>
        </w:rPr>
      </w:pPr>
      <w:r>
        <w:rPr>
          <w:rFonts w:ascii="Times New Roman" w:hAnsi="Times New Roman"/>
          <w:sz w:val="24"/>
          <w:szCs w:val="24"/>
        </w:rPr>
      </w:r>
    </w:p>
    <w:p>
      <w:pPr>
        <w:pStyle w:val="ListParagraph"/>
        <w:spacing w:before="0" w:after="0"/>
        <w:ind w:left="-142"/>
        <w:contextualSpacing/>
        <w:jc w:val="both"/>
        <w:rPr>
          <w:rFonts w:ascii="Times New Roman" w:hAnsi="Times New Roman"/>
          <w:sz w:val="24"/>
          <w:szCs w:val="24"/>
        </w:rPr>
      </w:pPr>
      <w:r>
        <w:rPr>
          <w:rFonts w:ascii="Times New Roman" w:hAnsi="Times New Roman"/>
          <w:sz w:val="24"/>
          <w:szCs w:val="24"/>
        </w:rPr>
        <w:t>Captar internos competentes, capazes de dar continuidade as conquistas alçançadas pela instituição, mantendo-se um serviço de referência, investindo na formação contínua pós-graduada dos especialistas nacionais, garantindo a progressiva autonomia clínica e técnica do Instituto, assim como admitir e contratar urgentemente pessoal do regime especial e geral através do concurso público, para entrada de novos funcionários, o que se está a tornar preocupante, tanto para novos especialistas (existem actualmente apenas 4 internos no IONA), como para formação de médicos em outras especialidades, tais como 1 anestesiologista, assim como outros parceiros da Oftalmologia e administrativos;</w:t>
      </w:r>
    </w:p>
    <w:p>
      <w:pPr>
        <w:pStyle w:val="ListParagraph"/>
        <w:ind w:left="-142"/>
        <w:jc w:val="both"/>
        <w:rPr>
          <w:rFonts w:ascii="Times New Roman" w:hAnsi="Times New Roman"/>
          <w:sz w:val="24"/>
          <w:szCs w:val="24"/>
        </w:rPr>
      </w:pPr>
      <w:r>
        <w:rPr>
          <w:rFonts w:ascii="Times New Roman" w:hAnsi="Times New Roman"/>
          <w:sz w:val="24"/>
          <w:szCs w:val="24"/>
        </w:rPr>
      </w:r>
    </w:p>
    <w:p>
      <w:pPr>
        <w:pStyle w:val="ListParagraph"/>
        <w:ind w:left="-142"/>
        <w:jc w:val="both"/>
        <w:rPr>
          <w:rFonts w:ascii="Times New Roman" w:hAnsi="Times New Roman"/>
          <w:sz w:val="24"/>
          <w:szCs w:val="24"/>
        </w:rPr>
      </w:pPr>
      <w:r>
        <w:rPr>
          <w:rFonts w:ascii="Times New Roman" w:hAnsi="Times New Roman"/>
          <w:sz w:val="24"/>
          <w:szCs w:val="24"/>
        </w:rPr>
        <w:t xml:space="preserve">Formar Subespecialistas em Enfermagem Oftalmológica para integrarem o quadro de docentes para formação em enfermagem especializada superior; </w:t>
      </w:r>
    </w:p>
    <w:p>
      <w:pPr>
        <w:pStyle w:val="ListParagraph"/>
        <w:ind w:left="-142"/>
        <w:jc w:val="both"/>
        <w:rPr>
          <w:rFonts w:ascii="Times New Roman" w:hAnsi="Times New Roman"/>
          <w:sz w:val="24"/>
          <w:szCs w:val="24"/>
        </w:rPr>
      </w:pPr>
      <w:r>
        <w:rPr>
          <w:rFonts w:ascii="Times New Roman" w:hAnsi="Times New Roman"/>
          <w:sz w:val="24"/>
          <w:szCs w:val="24"/>
        </w:rPr>
      </w:r>
    </w:p>
    <w:p>
      <w:pPr>
        <w:pStyle w:val="ListParagraph"/>
        <w:ind w:left="-142"/>
        <w:jc w:val="both"/>
        <w:rPr>
          <w:rFonts w:ascii="Times New Roman" w:hAnsi="Times New Roman"/>
          <w:sz w:val="24"/>
          <w:szCs w:val="24"/>
        </w:rPr>
      </w:pPr>
      <w:r>
        <w:rPr>
          <w:rFonts w:ascii="Times New Roman" w:hAnsi="Times New Roman"/>
          <w:sz w:val="24"/>
          <w:szCs w:val="24"/>
        </w:rPr>
        <w:t xml:space="preserve">Formar técnicos de diagnóstico e terapêutica licenciados  em Optometria ou Ortóptica com pós graduações  em Optometria Pediátrica, Baixa Visão, Produção de Próteses oculares e da face no exterior do país, assim como estatisticos sanitários, engenheiros de electromedicina, microbiologistas, necessários para melhor funcionamento da Instituição; </w:t>
      </w:r>
    </w:p>
    <w:p>
      <w:pPr>
        <w:pStyle w:val="ListParagraph"/>
        <w:ind w:left="-142"/>
        <w:jc w:val="both"/>
        <w:rPr>
          <w:rFonts w:ascii="Times New Roman" w:hAnsi="Times New Roman"/>
          <w:sz w:val="24"/>
          <w:szCs w:val="24"/>
        </w:rPr>
      </w:pPr>
      <w:r>
        <w:rPr>
          <w:rFonts w:ascii="Times New Roman" w:hAnsi="Times New Roman"/>
          <w:sz w:val="24"/>
          <w:szCs w:val="24"/>
        </w:rPr>
      </w:r>
    </w:p>
    <w:p>
      <w:pPr>
        <w:pStyle w:val="ListParagraph"/>
        <w:ind w:left="-142"/>
        <w:jc w:val="both"/>
        <w:rPr>
          <w:rFonts w:ascii="Times New Roman" w:hAnsi="Times New Roman"/>
          <w:sz w:val="24"/>
          <w:szCs w:val="24"/>
        </w:rPr>
      </w:pPr>
      <w:r>
        <w:rPr>
          <w:rFonts w:ascii="Times New Roman" w:hAnsi="Times New Roman"/>
          <w:sz w:val="24"/>
          <w:szCs w:val="24"/>
        </w:rPr>
        <w:t>Urge junto da Direcção Nacional de Saúde Pública, dentro do departamento de Cuidados de Saúde Primários a criação de um programa nacional de Cuidados Oulares Primários (COP), investir na formação de técnicos de enfermagem especializados</w:t>
      </w:r>
      <w:r>
        <w:rPr/>
        <w:t xml:space="preserve"> </w:t>
      </w:r>
      <w:r>
        <w:rPr>
          <w:rFonts w:ascii="Times New Roman" w:hAnsi="Times New Roman"/>
          <w:sz w:val="24"/>
          <w:szCs w:val="24"/>
        </w:rPr>
        <w:t xml:space="preserve">que possam filtrar os pacientes e descongestionar o nível terceário, etc. para mudar o cenário actual.  De realçar que as campanhas de Rastreios Visuais e Cirurgias gratuitas a Catarata em zonas mais desfavorecidas, não proporcionam uma cobertura efectiva;  </w:t>
      </w:r>
    </w:p>
    <w:p>
      <w:pPr>
        <w:pStyle w:val="ListParagraph"/>
        <w:ind w:left="-142"/>
        <w:jc w:val="both"/>
        <w:rPr>
          <w:rFonts w:ascii="Times New Roman" w:hAnsi="Times New Roman"/>
          <w:sz w:val="24"/>
          <w:szCs w:val="24"/>
        </w:rPr>
      </w:pPr>
      <w:r>
        <w:rPr>
          <w:rFonts w:ascii="Times New Roman" w:hAnsi="Times New Roman"/>
          <w:sz w:val="24"/>
          <w:szCs w:val="24"/>
        </w:rPr>
        <w:t xml:space="preserve"> </w:t>
      </w:r>
    </w:p>
    <w:p>
      <w:pPr>
        <w:pStyle w:val="ListParagraph"/>
        <w:ind w:left="-142"/>
        <w:jc w:val="both"/>
        <w:rPr>
          <w:rFonts w:ascii="Times New Roman" w:hAnsi="Times New Roman"/>
          <w:sz w:val="24"/>
          <w:szCs w:val="24"/>
        </w:rPr>
      </w:pPr>
      <w:r>
        <w:rPr>
          <w:rFonts w:ascii="Times New Roman" w:hAnsi="Times New Roman"/>
          <w:sz w:val="24"/>
          <w:szCs w:val="24"/>
        </w:rPr>
        <w:t xml:space="preserve">Elaborar projectos de forma a captar financiamento para as campanhas de rastreios visuais, de causas evitáveis de cegueira e cirurgias de catarata às outras províncias, envolvendo o MINSA e outros parceiros; </w:t>
      </w:r>
    </w:p>
    <w:p>
      <w:pPr>
        <w:pStyle w:val="ListParagraph"/>
        <w:ind w:left="-567"/>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t xml:space="preserve">Visitas de auscultação, juntamente com a DNH  as unidades sanitárias de 2 e 3º nível, que têm especialistas e alguns meios em Oftalmologia, como microscópios e se for o caso, dotá-los de competências para redução de envio de pacientes que atravessam o país para tratar de casos que poderiam ser resolvidos a nível local, como perfuração ocular, evitar que aconteçam complicações graves com evolução pra a cegueira em lactantes  por  patologias como conjuntivite gonocócica, úlceras da córnea por sarampo ou desnutrição, porque não foram tratadas correctamente, seja por falta de meios ou outros, condenando-os a uma vida de cegueira e consequentemente morte precoce. É sabido que crianças de tenra idade com cegueira morrem precoce, geralmente no 1º ano após o quadro;   </w:t>
      </w:r>
    </w:p>
    <w:p>
      <w:pPr>
        <w:pStyle w:val="ListParagraph"/>
        <w:ind w:left="-567"/>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t>Recomendar ao MINSA a avaliação  dos CVs dos especialistas em Oftalmologia contratados via Antex,  que deveriam no minímo puder resolver problemas básicos ou de mediana complexidade como reparação de feridas oculares e dos anexos, assim como extração extracapsular de catarata com pequena incisão (MSICS);</w:t>
      </w:r>
    </w:p>
    <w:p>
      <w:pPr>
        <w:pStyle w:val="ListParagraph"/>
        <w:ind w:left="-567"/>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t xml:space="preserve">Recomendar ao MINSA a criação de uma comissão composta pela DNH, Inspecção de Saúde, ARMED e IONA aquando da solicitação para abertura de alguma óptica, devido ao surgimento “desordenado” e uso de más práticas por parte dos técnicos de algumas ópticas;  </w:t>
      </w:r>
    </w:p>
    <w:p>
      <w:pPr>
        <w:pStyle w:val="ListParagraph"/>
        <w:ind w:left="-567"/>
        <w:jc w:val="both"/>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t>Procurar mais parceiros nacionais, como Institutos Politécnicos e Universidades.</w:t>
      </w:r>
    </w:p>
    <w:p>
      <w:pPr>
        <w:pStyle w:val="ListParagraph"/>
        <w:ind w:left="-567"/>
        <w:jc w:val="both"/>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t xml:space="preserve">Manter o Memorando de Entendimento com a ONG Fundação CBM (Cristhian Blinded Mission) - Luxemburgo, de forma a dar continuidade aos projectos de treino intensivo em cirurgia de catarata no exterior do país, doação de consumíveis de especialidade, prémios de incentivo sob a forma de assistência à congressos de Oftalmologia, patrocinio para deslocação à médicos estrangeiros de forma a dotarem os congressos do IONA um cariz internacional, etc;  </w:t>
      </w:r>
    </w:p>
    <w:p>
      <w:pPr>
        <w:pStyle w:val="ListParagraph"/>
        <w:ind w:left="-567"/>
        <w:jc w:val="both"/>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t xml:space="preserve">Manter acordo de cooperação com o Instituto de Pesquisa e Estudos em Oftalmologia (IPEPO) da República Federativa do Brasil, para as diferentes formações como Glaucoma e Oftalmopediatria (prioridade), Neuro - Oftalmologia, Uveíte, Oncoloplastia e Baixa Visão e Reabilitação visual etc., apostando na formação pós graduada dos  especialistas nacionais, de forma a substituir progressivamente a mão de obra estrangeira;  </w:t>
      </w:r>
    </w:p>
    <w:p>
      <w:pPr>
        <w:pStyle w:val="ListParagraph"/>
        <w:ind w:left="-567"/>
        <w:jc w:val="both"/>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r>
    </w:p>
    <w:p>
      <w:pPr>
        <w:pStyle w:val="ListParagraph"/>
        <w:ind w:left="-567"/>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font6"/>
        <w:spacing w:lineRule="auto" w:line="360" w:before="280" w:afterAutospacing="0" w:after="240"/>
        <w:ind w:left="-567"/>
        <w:rPr>
          <w:rFonts w:ascii="Times New Roman" w:hAnsi="Times New Roman" w:cs="Times New Roman"/>
          <w:sz w:val="24"/>
          <w:szCs w:val="24"/>
          <w:u w:val="single"/>
        </w:rPr>
      </w:pPr>
      <w:r>
        <w:rPr>
          <w:rFonts w:cs="Times New Roman" w:ascii="Times New Roman" w:hAnsi="Times New Roman"/>
          <w:sz w:val="24"/>
          <w:szCs w:val="24"/>
        </w:rPr>
        <w:t xml:space="preserve">9. </w:t>
      </w:r>
      <w:r>
        <w:rPr>
          <w:rFonts w:cs="Times New Roman" w:ascii="Times New Roman" w:hAnsi="Times New Roman"/>
          <w:sz w:val="24"/>
          <w:szCs w:val="24"/>
          <w:u w:val="single"/>
        </w:rPr>
        <w:t>CONCLUSÃO</w:t>
      </w:r>
    </w:p>
    <w:p>
      <w:pPr>
        <w:pStyle w:val="Normal"/>
        <w:spacing w:before="0" w:after="0"/>
        <w:ind w:left="-142"/>
        <w:jc w:val="both"/>
        <w:rPr>
          <w:rFonts w:ascii="Times New Roman" w:hAnsi="Times New Roman" w:eastAsia="Times New Roman" w:cs="Times New Roman"/>
          <w:sz w:val="24"/>
          <w:szCs w:val="24"/>
          <w:lang w:eastAsia="pt-PT"/>
        </w:rPr>
      </w:pPr>
      <w:r>
        <w:rPr>
          <w:rFonts w:eastAsia="Times New Roman" w:cs="Times New Roman" w:ascii="Times New Roman" w:hAnsi="Times New Roman"/>
          <w:bCs/>
          <w:sz w:val="24"/>
          <w:szCs w:val="24"/>
          <w:lang w:val="pt-BR" w:eastAsia="pt-PT"/>
        </w:rPr>
        <w:t xml:space="preserve">Apresenta-se abaixo, o resumo da actividade assistencial realizada no IONA durante o mês de Janeiro </w:t>
      </w:r>
      <w:r>
        <w:rPr>
          <w:rFonts w:eastAsia="Times New Roman" w:cs="Times New Roman" w:ascii="Times New Roman" w:hAnsi="Times New Roman"/>
          <w:sz w:val="24"/>
          <w:szCs w:val="24"/>
          <w:lang w:eastAsia="pt-PT"/>
        </w:rPr>
        <w:t xml:space="preserve"> de 2026:</w:t>
      </w:r>
    </w:p>
    <w:p>
      <w:pPr>
        <w:pStyle w:val="Normal"/>
        <w:spacing w:before="0" w:after="0"/>
        <w:ind w:left="-142"/>
        <w:jc w:val="both"/>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p>
      <w:pPr>
        <w:pStyle w:val="Normal"/>
        <w:spacing w:before="0" w:after="0"/>
        <w:ind w:left="-142"/>
        <w:jc w:val="both"/>
        <w:rPr>
          <w:rFonts w:ascii="Times New Roman" w:hAnsi="Times New Roman" w:cs="Times New Roman"/>
          <w:sz w:val="24"/>
          <w:szCs w:val="24"/>
        </w:rPr>
      </w:pPr>
      <w:r>
        <w:rPr>
          <w:rFonts w:eastAsia="Times New Roman" w:cs="Times New Roman" w:ascii="Times New Roman" w:hAnsi="Times New Roman"/>
          <w:bCs/>
          <w:sz w:val="24"/>
          <w:szCs w:val="24"/>
          <w:lang w:val="pt-BR" w:eastAsia="pt-PT"/>
        </w:rPr>
        <w:t xml:space="preserve">Foram </w:t>
      </w:r>
      <w:r>
        <w:rPr>
          <w:rFonts w:cs="Times New Roman" w:ascii="Times New Roman" w:hAnsi="Times New Roman"/>
          <w:sz w:val="24"/>
          <w:szCs w:val="24"/>
        </w:rPr>
        <w:t xml:space="preserve">foram registadas </w:t>
      </w:r>
      <w:r>
        <w:rPr>
          <w:rStyle w:val="Strong"/>
          <w:rFonts w:cs="Times New Roman" w:ascii="Times New Roman" w:hAnsi="Times New Roman"/>
          <w:b w:val="false"/>
          <w:sz w:val="24"/>
          <w:szCs w:val="24"/>
        </w:rPr>
        <w:t>8 855 consultas,</w:t>
      </w:r>
      <w:r>
        <w:rPr>
          <w:rStyle w:val="Strong"/>
          <w:rFonts w:cs="Times New Roman" w:ascii="Times New Roman" w:hAnsi="Times New Roman"/>
          <w:sz w:val="24"/>
          <w:szCs w:val="24"/>
        </w:rPr>
        <w:t xml:space="preserve"> </w:t>
      </w:r>
      <w:r>
        <w:rPr>
          <w:rFonts w:cs="Times New Roman" w:ascii="Times New Roman" w:hAnsi="Times New Roman"/>
          <w:sz w:val="24"/>
          <w:szCs w:val="24"/>
        </w:rPr>
        <w:t xml:space="preserve">das quais </w:t>
      </w:r>
      <w:r>
        <w:rPr>
          <w:rFonts w:eastAsia="Times New Roman" w:cs="Times New Roman" w:ascii="Times New Roman" w:hAnsi="Times New Roman"/>
          <w:sz w:val="24"/>
          <w:szCs w:val="24"/>
          <w:lang w:eastAsia="pt-PT"/>
        </w:rPr>
        <w:t>8 313</w:t>
      </w:r>
      <w:r>
        <w:rPr>
          <w:rFonts w:cs="Times New Roman" w:ascii="Times New Roman" w:hAnsi="Times New Roman"/>
          <w:sz w:val="24"/>
          <w:szCs w:val="24"/>
        </w:rPr>
        <w:t xml:space="preserve"> em Oftalmologia e 542</w:t>
      </w:r>
      <w:r>
        <w:rPr/>
        <w:t xml:space="preserve"> </w:t>
      </w:r>
      <w:r>
        <w:rPr>
          <w:rFonts w:cs="Times New Roman" w:ascii="Times New Roman" w:hAnsi="Times New Roman"/>
          <w:sz w:val="24"/>
          <w:szCs w:val="24"/>
        </w:rPr>
        <w:t>em Consulta de Medicina Interna (491)</w:t>
      </w:r>
      <w:r>
        <w:rPr/>
        <w:t xml:space="preserve"> </w:t>
      </w:r>
      <w:r>
        <w:rPr>
          <w:rFonts w:cs="Times New Roman" w:ascii="Times New Roman" w:hAnsi="Times New Roman"/>
          <w:sz w:val="24"/>
          <w:szCs w:val="24"/>
        </w:rPr>
        <w:t>e Anestesia (51). Dos 8 313 pacientes observados em Oftalmologia, 57% (5050) foram em consulta externa,  31% (2 572) em Urgência e 8%  (691)  em Optometria;</w:t>
      </w:r>
    </w:p>
    <w:p>
      <w:pPr>
        <w:pStyle w:val="Normal"/>
        <w:spacing w:before="0" w:after="0"/>
        <w:ind w:left="-142"/>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ind w:left="-142"/>
        <w:jc w:val="both"/>
        <w:rPr>
          <w:rFonts w:ascii="Times New Roman" w:hAnsi="Times New Roman" w:cs="Times New Roman"/>
          <w:sz w:val="24"/>
          <w:szCs w:val="24"/>
          <w:lang w:val="pt-BR"/>
        </w:rPr>
      </w:pPr>
      <w:r>
        <w:rPr>
          <w:rFonts w:cs="Times New Roman" w:ascii="Times New Roman" w:hAnsi="Times New Roman"/>
          <w:bCs/>
          <w:sz w:val="24"/>
          <w:szCs w:val="24"/>
          <w:lang w:val="pt-BR"/>
        </w:rPr>
        <w:t>O grupo etário mais atendido foi o dos 45-64 anos, com 29% (2 411) dos casos, seguido pelo grupo acima dos 65 anos, com 22% (1 846), o que se entende ao ser um centro de referência. Em relação ao sexo, existe um predomínio ligeiro do sexo Feminino com 52%;</w:t>
      </w:r>
    </w:p>
    <w:p>
      <w:pPr>
        <w:pStyle w:val="Normal"/>
        <w:spacing w:before="0" w:after="0"/>
        <w:ind w:left="-142"/>
        <w:jc w:val="both"/>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spacing w:before="0" w:after="0"/>
        <w:ind w:left="-142"/>
        <w:jc w:val="both"/>
        <w:rPr>
          <w:rFonts w:ascii="Times New Roman" w:hAnsi="Times New Roman" w:cs="Times New Roman"/>
          <w:sz w:val="24"/>
          <w:szCs w:val="24"/>
        </w:rPr>
      </w:pPr>
      <w:r>
        <w:rPr>
          <w:rFonts w:eastAsia="Times New Roman" w:cs="Times New Roman" w:ascii="Times New Roman" w:hAnsi="Times New Roman"/>
          <w:sz w:val="24"/>
          <w:szCs w:val="24"/>
          <w:lang w:val="pt-BR" w:eastAsia="pt-PT"/>
        </w:rPr>
        <w:t>Da</w:t>
      </w:r>
      <w:r>
        <w:rPr>
          <w:rFonts w:eastAsia="Times New Roman" w:cs="Times New Roman" w:ascii="Times New Roman" w:hAnsi="Times New Roman"/>
          <w:sz w:val="24"/>
          <w:szCs w:val="24"/>
          <w:lang w:eastAsia="pt-PT"/>
        </w:rPr>
        <w:t>s patologias mais frequentes, estão em primeiro lugar as alterações do cristalino com  29% dos casos, seguindo-se as ametropias com 17% e as alterações da conjuntiva com 15%. De realçar que as 2 últimas deveriam  ser observadas a nível primário. Segue-se o Glaucoma com 9% e os Traumatismos Oculares com 6%;</w:t>
      </w:r>
    </w:p>
    <w:p>
      <w:pPr>
        <w:pStyle w:val="Normal"/>
        <w:spacing w:before="0" w:after="0"/>
        <w:ind w:left="-142"/>
        <w:jc w:val="both"/>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t xml:space="preserve"> </w:t>
      </w:r>
    </w:p>
    <w:p>
      <w:pPr>
        <w:pStyle w:val="Normal"/>
        <w:spacing w:before="0" w:after="0"/>
        <w:ind w:left="-142"/>
        <w:jc w:val="both"/>
        <w:rPr>
          <w:rFonts w:ascii="Times New Roman" w:hAnsi="Times New Roman" w:cs="Times New Roman"/>
          <w:bCs/>
          <w:sz w:val="24"/>
          <w:szCs w:val="24"/>
        </w:rPr>
      </w:pPr>
      <w:r>
        <w:rPr>
          <w:rFonts w:cs="Times New Roman" w:ascii="Times New Roman" w:hAnsi="Times New Roman"/>
          <w:bCs/>
          <w:sz w:val="24"/>
          <w:szCs w:val="24"/>
        </w:rPr>
        <w:t xml:space="preserve">Foram internados </w:t>
      </w:r>
      <w:r>
        <w:rPr>
          <w:rFonts w:eastAsia="Times New Roman" w:cs="Times New Roman" w:ascii="Times New Roman" w:hAnsi="Times New Roman"/>
          <w:sz w:val="24"/>
          <w:szCs w:val="24"/>
          <w:lang w:val="pt-BR" w:eastAsia="pt-PT"/>
        </w:rPr>
        <w:t xml:space="preserve">5 pacientes. A maioria, em 40% dos casos, deveram-se a casos pós cirúrgicos e </w:t>
      </w:r>
      <w:r>
        <w:rPr>
          <w:rFonts w:cs="Times New Roman" w:ascii="Times New Roman" w:hAnsi="Times New Roman"/>
          <w:bCs/>
          <w:sz w:val="24"/>
          <w:szCs w:val="24"/>
        </w:rPr>
        <w:t>permaneceram  por 48H ;</w:t>
      </w:r>
    </w:p>
    <w:p>
      <w:pPr>
        <w:pStyle w:val="Normal"/>
        <w:spacing w:before="0" w:after="0"/>
        <w:ind w:left="-142"/>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before="0" w:after="0"/>
        <w:ind w:left="-142"/>
        <w:jc w:val="both"/>
        <w:rPr>
          <w:rFonts w:ascii="Times New Roman" w:hAnsi="Times New Roman" w:cs="Times New Roman"/>
          <w:sz w:val="24"/>
          <w:szCs w:val="24"/>
        </w:rPr>
      </w:pPr>
      <w:r>
        <w:rPr>
          <w:rFonts w:cs="Times New Roman" w:ascii="Times New Roman" w:hAnsi="Times New Roman"/>
          <w:sz w:val="24"/>
          <w:szCs w:val="24"/>
        </w:rPr>
        <w:t>Foram realizadas um total de 767 cirurgias, das quais 80%  electivas, 5% urgências e 15% actos cirúrgicos;</w:t>
      </w:r>
    </w:p>
    <w:p>
      <w:pPr>
        <w:pStyle w:val="Normal"/>
        <w:spacing w:before="0" w:after="0"/>
        <w:ind w:left="-142"/>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ind w:left="-142"/>
        <w:jc w:val="both"/>
        <w:rPr>
          <w:rFonts w:ascii="Times New Roman" w:hAnsi="Times New Roman" w:cs="Times New Roman"/>
          <w:sz w:val="24"/>
          <w:szCs w:val="24"/>
        </w:rPr>
      </w:pPr>
      <w:r>
        <w:rPr>
          <w:rFonts w:cs="Times New Roman" w:ascii="Times New Roman" w:hAnsi="Times New Roman"/>
          <w:sz w:val="24"/>
          <w:szCs w:val="24"/>
        </w:rPr>
        <w:t>Os exames mais realizados  foram o OCT com 21% (488), seguido pela Retinografia com 19% (448) e a Ecografia  com 18% (424);</w:t>
      </w:r>
    </w:p>
    <w:p>
      <w:pPr>
        <w:pStyle w:val="Normal"/>
        <w:spacing w:before="0" w:after="0"/>
        <w:ind w:left="-142"/>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ind w:left="-142"/>
        <w:jc w:val="both"/>
        <w:rPr>
          <w:rFonts w:ascii="Times New Roman" w:hAnsi="Times New Roman" w:cs="Times New Roman"/>
          <w:sz w:val="24"/>
          <w:szCs w:val="24"/>
        </w:rPr>
      </w:pPr>
      <w:r>
        <w:rPr>
          <w:rFonts w:cs="Times New Roman" w:ascii="Times New Roman" w:hAnsi="Times New Roman"/>
          <w:sz w:val="24"/>
          <w:szCs w:val="24"/>
        </w:rPr>
        <w:t>Foram realizados um total de 6 388 exames, com predominância para a VS com 24% (1 521), seguido pela Glicemia com 16% (1 015) respectivamente;</w:t>
      </w:r>
    </w:p>
    <w:p>
      <w:pPr>
        <w:pStyle w:val="Normal"/>
        <w:spacing w:before="0" w:after="0"/>
        <w:ind w:left="-142"/>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ind w:left="-142"/>
        <w:jc w:val="both"/>
        <w:rPr>
          <w:rFonts w:ascii="Times New Roman" w:hAnsi="Times New Roman" w:cs="Times New Roman"/>
          <w:sz w:val="24"/>
          <w:szCs w:val="24"/>
        </w:rPr>
      </w:pPr>
      <w:r>
        <w:rPr>
          <w:rFonts w:cs="Times New Roman" w:ascii="Times New Roman" w:hAnsi="Times New Roman"/>
          <w:sz w:val="24"/>
          <w:szCs w:val="24"/>
        </w:rPr>
        <w:t>Foram encaminhados ao IONA um total de 1 422 pacientes provenientes  do nível primário de atenção com 84% (1 201) dos casos. Esse quadro demonstra o défice de serviços de saúde ocular a este nível, assim como a funcionalidade dos serviços de referência (nível 3º com apenas 14%).</w:t>
      </w:r>
    </w:p>
    <w:p>
      <w:pPr>
        <w:pStyle w:val="Normal"/>
        <w:spacing w:before="0" w:after="0"/>
        <w:ind w:left="-142"/>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160"/>
        <w:ind w:left="-142"/>
        <w:jc w:val="both"/>
        <w:rPr>
          <w:rFonts w:ascii="Times New Roman" w:hAnsi="Times New Roman" w:eastAsia="Calibri" w:cs="Times New Roman"/>
          <w:b/>
          <w:bCs/>
          <w:sz w:val="24"/>
          <w:szCs w:val="24"/>
          <w:u w:val="single"/>
        </w:rPr>
      </w:pPr>
      <w:r>
        <w:rPr>
          <w:rFonts w:eastAsia="Calibri" w:cs="Times New Roman" w:ascii="Times New Roman" w:hAnsi="Times New Roman"/>
          <w:b/>
          <w:bCs/>
          <w:sz w:val="24"/>
          <w:szCs w:val="24"/>
          <w:u w:val="single"/>
        </w:rPr>
        <w:t xml:space="preserve">Resumindo:  </w:t>
      </w:r>
    </w:p>
    <w:p>
      <w:pPr>
        <w:pStyle w:val="Normal"/>
        <w:spacing w:before="0" w:after="160"/>
        <w:ind w:left="-142"/>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A actual capacidade instalada do Hospital revela-se insuficiente face à crescente demanda assistencial, condicionando  a eficiência operacional, a qualidade do atendimento e segurança do paciente.  </w:t>
      </w:r>
    </w:p>
    <w:p>
      <w:pPr>
        <w:pStyle w:val="Normal"/>
        <w:spacing w:before="0" w:after="160"/>
        <w:ind w:left="-142"/>
        <w:jc w:val="both"/>
        <w:rPr>
          <w:rFonts w:ascii="Times New Roman" w:hAnsi="Times New Roman" w:eastAsia="Calibri" w:cs="Times New Roman"/>
          <w:sz w:val="24"/>
          <w:szCs w:val="24"/>
        </w:rPr>
      </w:pPr>
      <w:r>
        <w:rPr>
          <w:rFonts w:eastAsia="Calibri" w:cs="Times New Roman" w:ascii="Times New Roman" w:hAnsi="Times New Roman"/>
          <w:sz w:val="24"/>
          <w:szCs w:val="24"/>
        </w:rPr>
        <w:t>Isso faz com que o mesmo deixe  de reunir condições humanizadas para pacientes e profissionais, acrescida ao aumento de más práticas devido a procura de serviços, a exígua atribuição de profissionais à Instituição, a necessidade de contratação de mais especialistas expatriados, não só pela intensa actividade assistencial, mas também a necessidade de se obter mais valências para a formação.</w:t>
      </w:r>
    </w:p>
    <w:p>
      <w:pPr>
        <w:pStyle w:val="Normal"/>
        <w:spacing w:before="0" w:after="160"/>
        <w:ind w:left="-142"/>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Ainda assim, pode afirmar-se que de momento  continua a ser o hospital de referência em Angola, tanto na vertente assistencial (médico-cirúrgica), como na formação, sendo praticamente o único a formar, uma vez que as outras unidades não  possuem  idoneidade total.  </w:t>
      </w:r>
    </w:p>
    <w:p>
      <w:pPr>
        <w:pStyle w:val="Normal"/>
        <w:spacing w:before="0" w:after="160"/>
        <w:ind w:left="-142"/>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É o único hospital em todo território nacional, entre instituições públicas e privadas, a realizar cirurgias de Vítreo-Retina e Rstrabismo, para além de outras como </w:t>
      </w:r>
      <w:r>
        <w:rPr/>
        <w:t xml:space="preserve"> </w:t>
      </w:r>
      <w:r>
        <w:rPr>
          <w:rFonts w:eastAsia="Calibri" w:cs="Times New Roman" w:ascii="Times New Roman" w:hAnsi="Times New Roman"/>
          <w:sz w:val="24"/>
          <w:szCs w:val="24"/>
        </w:rPr>
        <w:t xml:space="preserve">Catarata pelo método de Facoemulsificação,  Injecções Intravítreas de Bevacizumab (Avastin), Fotocoagulação da retina, Laser e Implantes de drenagem no glaucoma (estes últimos de forma tímida) etc,  equipamento de ponta  para a maior parte dos exames complementares em Oftalmologia, etc. </w:t>
      </w:r>
    </w:p>
    <w:p>
      <w:pPr>
        <w:pStyle w:val="Normal"/>
        <w:spacing w:before="0" w:after="160"/>
        <w:ind w:left="-142"/>
        <w:jc w:val="both"/>
        <w:rPr>
          <w:rFonts w:ascii="Times New Roman" w:hAnsi="Times New Roman" w:eastAsia="Calibri" w:cs="Times New Roman"/>
          <w:sz w:val="24"/>
          <w:szCs w:val="24"/>
        </w:rPr>
      </w:pPr>
      <w:r>
        <w:rPr>
          <w:rFonts w:eastAsia="Calibri" w:cs="Times New Roman" w:ascii="Times New Roman" w:hAnsi="Times New Roman"/>
          <w:sz w:val="24"/>
          <w:szCs w:val="24"/>
        </w:rPr>
        <w:t>Esta demanda crescente de utentes,  enviados diariamente de várias instituições  de todo país de diferentes níveis de saúde, principalmente de nível primário, numa estrutura pequena, com mais de 30 anos, que triplicou o atendimento a todos os níveis, faz com que a mesma se vá degradando paulatinamente, com problemas cada vez mais frequentes e repetitivos e  a um ritmo que começa a ser preocupante, como os incêndios (2) nos quadros eléctricos devido a sobrecarga provocada pelo aumento de equipamentos;</w:t>
      </w:r>
    </w:p>
    <w:p>
      <w:pPr>
        <w:pStyle w:val="Normal"/>
        <w:spacing w:before="0" w:after="160"/>
        <w:ind w:left="-142"/>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Por outro lado, existe o aumento de solicitações a nível nacional para frequência tanto para o Internato Médico Complementar, estando de momento 37 médicos em formação, assim como de enfermagem oftalmológica com  15 enfermeiros em formação e  22 em  lista de espera. De realçar que a lista de espera também se aplica a especialização médica.  </w:t>
      </w:r>
    </w:p>
    <w:p>
      <w:pPr>
        <w:pStyle w:val="Normal"/>
        <w:ind w:left="-142"/>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Pode-se assim, de forma geral, afirmar que o IONA tem um elevado índice de produtividade e que os resultados quantitativos reflectem um desempenho assistencial satisfatório, marcado pelo compromisso das equipas em garantir a continuidade e qualidade dos cuidados oculares prestados aos utentes, o que justifica a prioridade na expansão e ou mudança para um local maior. </w:t>
      </w:r>
    </w:p>
    <w:p>
      <w:pPr>
        <w:pStyle w:val="Normal"/>
        <w:spacing w:lineRule="auto" w:line="360" w:before="0" w:after="160"/>
        <w:ind w:left="-142"/>
        <w:jc w:val="both"/>
        <w:rPr>
          <w:rFonts w:ascii="Times New Roman" w:hAnsi="Times New Roman" w:eastAsia="Calibri" w:cs="Times New Roman"/>
          <w:b/>
          <w:sz w:val="24"/>
          <w:szCs w:val="24"/>
        </w:rPr>
      </w:pPr>
      <w:r>
        <w:rPr>
          <w:rFonts w:eastAsia="Calibri" w:cs="Times New Roman" w:ascii="Times New Roman" w:hAnsi="Times New Roman"/>
          <w:b/>
          <w:sz w:val="24"/>
          <w:szCs w:val="24"/>
        </w:rPr>
      </w:r>
    </w:p>
    <w:p>
      <w:pPr>
        <w:pStyle w:val="Normal"/>
        <w:spacing w:lineRule="auto" w:line="360" w:before="0" w:after="160"/>
        <w:ind w:left="-142"/>
        <w:jc w:val="both"/>
        <w:rPr>
          <w:rFonts w:ascii="Times New Roman" w:hAnsi="Times New Roman" w:eastAsia="Calibri" w:cs="Times New Roman"/>
          <w:b/>
          <w:sz w:val="24"/>
          <w:szCs w:val="24"/>
        </w:rPr>
      </w:pPr>
      <w:r>
        <w:rPr>
          <w:rFonts w:eastAsia="Calibri" w:cs="Times New Roman" w:ascii="Times New Roman" w:hAnsi="Times New Roman"/>
          <w:b/>
          <w:sz w:val="24"/>
          <w:szCs w:val="24"/>
        </w:rPr>
        <w:t>INSTITUTO OFTALMOLÓGICO NACIONAL, EM LUANDA, AOS 05 DE MARÇO              DE 2026.</w:t>
      </w:r>
    </w:p>
    <w:p>
      <w:pPr>
        <w:pStyle w:val="Normal"/>
        <w:spacing w:lineRule="auto" w:line="360" w:before="0" w:after="160"/>
        <w:ind w:left="-142"/>
        <w:jc w:val="both"/>
        <w:rPr>
          <w:rFonts w:ascii="Times New Roman" w:hAnsi="Times New Roman" w:eastAsia="Calibri" w:cs="Times New Roman"/>
          <w:b/>
          <w:sz w:val="24"/>
          <w:szCs w:val="24"/>
        </w:rPr>
      </w:pPr>
      <w:r>
        <w:rPr>
          <w:rFonts w:eastAsia="Calibri" w:cs="Times New Roman" w:ascii="Times New Roman" w:hAnsi="Times New Roman"/>
          <w:b/>
          <w:sz w:val="24"/>
          <w:szCs w:val="24"/>
        </w:rPr>
      </w:r>
    </w:p>
    <w:p>
      <w:pPr>
        <w:pStyle w:val="Normal"/>
        <w:spacing w:lineRule="auto" w:line="360" w:before="0" w:after="160"/>
        <w:ind w:left="-142"/>
        <w:jc w:val="center"/>
        <w:rPr>
          <w:rFonts w:ascii="Times New Roman" w:hAnsi="Times New Roman" w:eastAsia="Calibri" w:cs="Times New Roman"/>
          <w:b/>
          <w:sz w:val="24"/>
          <w:szCs w:val="24"/>
        </w:rPr>
      </w:pPr>
      <w:r>
        <w:rPr>
          <w:rFonts w:eastAsia="Calibri" w:cs="Times New Roman" w:ascii="Times New Roman" w:hAnsi="Times New Roman"/>
          <w:b/>
          <w:sz w:val="24"/>
          <w:szCs w:val="24"/>
        </w:rPr>
        <w:t>A Directora Geral</w:t>
      </w:r>
    </w:p>
    <w:p>
      <w:pPr>
        <w:pStyle w:val="Normal"/>
        <w:ind w:left="-142"/>
        <w:rPr/>
      </w:pPr>
      <w:r>
        <w:rPr/>
      </w:r>
    </w:p>
    <w:p>
      <w:pPr>
        <w:pStyle w:val="EMPTYCELLSTYLE"/>
        <w:ind w:left="-142"/>
        <w:rPr>
          <w:rFonts w:eastAsia="Calibri"/>
        </w:rPr>
      </w:pPr>
      <w:r>
        <w:rPr>
          <w:rFonts w:eastAsia="Calibri"/>
        </w:rPr>
      </w:r>
    </w:p>
    <w:p>
      <w:pPr>
        <w:pStyle w:val="EMPTYCELLSTYLE"/>
        <w:ind w:left="-142"/>
        <w:rPr>
          <w:rFonts w:eastAsia="Calibri"/>
        </w:rPr>
      </w:pPr>
      <w:r>
        <w:rPr>
          <w:rFonts w:eastAsia="Calibri"/>
        </w:rPr>
      </w:r>
    </w:p>
    <w:p>
      <w:pPr>
        <w:pStyle w:val="Normal"/>
        <w:tabs>
          <w:tab w:val="clear" w:pos="708"/>
          <w:tab w:val="left" w:pos="6870" w:leader="none"/>
        </w:tabs>
        <w:spacing w:lineRule="auto" w:line="360" w:before="0" w:after="160"/>
        <w:ind w:left="-142"/>
        <w:jc w:val="center"/>
        <w:rPr>
          <w:rFonts w:ascii="Times New Roman" w:hAnsi="Times New Roman" w:eastAsia="Calibri" w:cs="Times New Roman"/>
          <w:b/>
          <w:sz w:val="24"/>
          <w:szCs w:val="24"/>
        </w:rPr>
      </w:pPr>
      <w:r>
        <w:rPr>
          <w:rFonts w:eastAsia="Calibri" w:cs="Times New Roman" w:ascii="Times New Roman" w:hAnsi="Times New Roman"/>
          <w:b/>
          <w:sz w:val="24"/>
          <w:szCs w:val="24"/>
        </w:rPr>
        <w:t>Luísa Filomena de Castro Paiva Peralta</w:t>
      </w:r>
    </w:p>
    <w:p>
      <w:pPr>
        <w:pStyle w:val="Normal"/>
        <w:spacing w:lineRule="auto" w:line="360"/>
        <w:ind w:left="-567"/>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p>
      <w:pPr>
        <w:pStyle w:val="Normal"/>
        <w:spacing w:lineRule="auto" w:line="360" w:before="0" w:after="160"/>
        <w:ind w:left="-567"/>
        <w:jc w:val="center"/>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360" w:before="0" w:after="160"/>
        <w:ind w:left="-567"/>
        <w:jc w:val="center"/>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p>
      <w:pPr>
        <w:pStyle w:val="Normal"/>
        <w:tabs>
          <w:tab w:val="clear" w:pos="708"/>
          <w:tab w:val="left" w:pos="6870" w:leader="none"/>
        </w:tabs>
        <w:spacing w:lineRule="auto" w:line="360" w:before="0" w:after="160"/>
        <w:ind w:left="-567"/>
        <w:jc w:val="center"/>
        <w:rPr>
          <w:rFonts w:ascii="Times New Roman" w:hAnsi="Times New Roman" w:eastAsia="Calibri" w:cs="Times New Roman"/>
          <w:sz w:val="24"/>
          <w:szCs w:val="24"/>
          <w:lang w:val="pt-BR" w:eastAsia="pt-PT"/>
        </w:rPr>
      </w:pPr>
      <w:r>
        <w:rPr>
          <w:rFonts w:eastAsia="Calibri" w:cs="Times New Roman" w:ascii="Times New Roman" w:hAnsi="Times New Roman"/>
          <w:sz w:val="24"/>
          <w:szCs w:val="24"/>
          <w:lang w:val="pt-BR" w:eastAsia="pt-PT"/>
        </w:rPr>
      </w:r>
    </w:p>
    <w:p>
      <w:pPr>
        <w:pStyle w:val="Normal"/>
        <w:spacing w:lineRule="auto" w:line="360" w:before="0" w:after="160"/>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p>
      <w:pPr>
        <w:pStyle w:val="Normal"/>
        <w:spacing w:lineRule="auto" w:line="360" w:before="0" w:after="160"/>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p>
      <w:pPr>
        <w:pStyle w:val="Normal"/>
        <w:spacing w:lineRule="auto" w:line="360" w:before="0" w:after="160"/>
        <w:ind w:left="-567"/>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p>
      <w:pPr>
        <w:pStyle w:val="Normal"/>
        <w:spacing w:lineRule="auto" w:line="360" w:before="0" w:after="160"/>
        <w:ind w:left="-567"/>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p>
      <w:pPr>
        <w:pStyle w:val="Normal"/>
        <w:spacing w:lineRule="auto" w:line="360" w:before="0" w:after="160"/>
        <w:ind w:left="-567"/>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p>
      <w:pPr>
        <w:pStyle w:val="Normal"/>
        <w:spacing w:lineRule="auto" w:line="360" w:before="0" w:after="160"/>
        <w:ind w:left="-567"/>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p>
      <w:pPr>
        <w:pStyle w:val="Normal"/>
        <w:spacing w:lineRule="auto" w:line="360" w:before="0" w:after="160"/>
        <w:ind w:left="-567"/>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p>
      <w:pPr>
        <w:pStyle w:val="Normal"/>
        <w:spacing w:lineRule="auto" w:line="360" w:before="0" w:after="160"/>
        <w:ind w:left="-567"/>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p>
      <w:pPr>
        <w:pStyle w:val="Normal"/>
        <w:spacing w:lineRule="auto" w:line="360" w:before="0" w:after="160"/>
        <w:ind w:left="-567"/>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p>
      <w:pPr>
        <w:pStyle w:val="font6"/>
        <w:spacing w:before="280" w:after="280"/>
        <w:ind w:left="-567"/>
        <w:jc w:val="center"/>
        <w:rPr>
          <w:rFonts w:ascii="Times New Roman" w:hAnsi="Times New Roman" w:eastAsia="Calibri" w:cs="Times New Roman"/>
          <w:sz w:val="72"/>
          <w:szCs w:val="72"/>
          <w:u w:val="single"/>
          <w:lang w:val="pt-BR"/>
        </w:rPr>
      </w:pPr>
      <w:r>
        <w:rPr>
          <w:rFonts w:eastAsia="Calibri" w:cs="Times New Roman" w:ascii="Times New Roman" w:hAnsi="Times New Roman"/>
          <w:sz w:val="72"/>
          <w:szCs w:val="72"/>
          <w:u w:val="single"/>
          <w:lang w:val="pt-BR"/>
        </w:rPr>
        <w:t>ANEXOS</w:t>
      </w:r>
    </w:p>
    <w:p>
      <w:pPr>
        <w:pStyle w:val="font6"/>
        <w:spacing w:before="280" w:after="280"/>
        <w:ind w:left="-567"/>
        <w:jc w:val="center"/>
        <w:rPr>
          <w:rFonts w:ascii="Times New Roman" w:hAnsi="Times New Roman" w:eastAsia="Calibri" w:cs="Times New Roman"/>
          <w:sz w:val="72"/>
          <w:szCs w:val="72"/>
          <w:u w:val="single"/>
          <w:lang w:val="pt-BR"/>
        </w:rPr>
      </w:pPr>
      <w:r>
        <w:rPr>
          <w:rFonts w:eastAsia="Calibri" w:cs="Times New Roman" w:ascii="Times New Roman" w:hAnsi="Times New Roman"/>
          <w:sz w:val="72"/>
          <w:szCs w:val="72"/>
          <w:u w:val="single"/>
          <w:lang w:val="pt-BR"/>
        </w:rPr>
      </w:r>
    </w:p>
    <w:p>
      <w:pPr>
        <w:pStyle w:val="font6"/>
        <w:spacing w:before="280" w:after="280"/>
        <w:ind w:left="-567"/>
        <w:jc w:val="center"/>
        <w:rPr>
          <w:rFonts w:ascii="Times New Roman" w:hAnsi="Times New Roman" w:eastAsia="Calibri" w:cs="Times New Roman"/>
          <w:sz w:val="72"/>
          <w:szCs w:val="72"/>
          <w:u w:val="single"/>
          <w:lang w:val="pt-BR"/>
        </w:rPr>
      </w:pPr>
      <w:r>
        <w:rPr>
          <w:rFonts w:eastAsia="Calibri" w:cs="Times New Roman" w:ascii="Times New Roman" w:hAnsi="Times New Roman"/>
          <w:sz w:val="72"/>
          <w:szCs w:val="72"/>
          <w:u w:val="single"/>
          <w:lang w:val="pt-BR"/>
        </w:rPr>
      </w:r>
    </w:p>
    <w:p>
      <w:pPr>
        <w:pStyle w:val="font6"/>
        <w:spacing w:before="280" w:after="280"/>
        <w:ind w:left="-567"/>
        <w:jc w:val="center"/>
        <w:rPr>
          <w:rFonts w:ascii="Times New Roman" w:hAnsi="Times New Roman" w:eastAsia="Calibri" w:cs="Times New Roman"/>
          <w:sz w:val="72"/>
          <w:szCs w:val="72"/>
          <w:u w:val="single"/>
          <w:lang w:val="pt-BR"/>
        </w:rPr>
      </w:pPr>
      <w:r>
        <w:rPr>
          <w:rFonts w:eastAsia="Calibri" w:cs="Times New Roman" w:ascii="Times New Roman" w:hAnsi="Times New Roman"/>
          <w:sz w:val="72"/>
          <w:szCs w:val="72"/>
          <w:u w:val="single"/>
          <w:lang w:val="pt-BR"/>
        </w:rPr>
      </w:r>
    </w:p>
    <w:p>
      <w:pPr>
        <w:pStyle w:val="font6"/>
        <w:spacing w:before="280" w:after="280"/>
        <w:ind w:left="-567"/>
        <w:jc w:val="center"/>
        <w:rPr>
          <w:rFonts w:ascii="Times New Roman" w:hAnsi="Times New Roman" w:eastAsia="Calibri" w:cs="Times New Roman"/>
          <w:sz w:val="72"/>
          <w:szCs w:val="72"/>
          <w:u w:val="single"/>
          <w:lang w:val="pt-BR"/>
        </w:rPr>
      </w:pPr>
      <w:r>
        <w:rPr>
          <w:rFonts w:eastAsia="Calibri" w:cs="Times New Roman" w:ascii="Times New Roman" w:hAnsi="Times New Roman"/>
          <w:sz w:val="72"/>
          <w:szCs w:val="72"/>
          <w:u w:val="single"/>
          <w:lang w:val="pt-BR"/>
        </w:rPr>
      </w:r>
    </w:p>
    <w:p>
      <w:pPr>
        <w:pStyle w:val="font6"/>
        <w:spacing w:before="280" w:after="280"/>
        <w:ind w:left="-567"/>
        <w:jc w:val="center"/>
        <w:rPr>
          <w:rFonts w:ascii="Times New Roman" w:hAnsi="Times New Roman" w:eastAsia="Calibri" w:cs="Times New Roman"/>
          <w:sz w:val="72"/>
          <w:szCs w:val="72"/>
          <w:u w:val="single"/>
          <w:lang w:val="pt-BR"/>
        </w:rPr>
      </w:pPr>
      <w:r>
        <w:rPr>
          <w:rFonts w:eastAsia="Calibri" w:cs="Times New Roman" w:ascii="Times New Roman" w:hAnsi="Times New Roman"/>
          <w:sz w:val="72"/>
          <w:szCs w:val="72"/>
          <w:u w:val="single"/>
          <w:lang w:val="pt-BR"/>
        </w:rPr>
      </w:r>
    </w:p>
    <w:p>
      <w:pPr>
        <w:pStyle w:val="font6"/>
        <w:spacing w:before="280" w:after="280"/>
        <w:ind w:left="-567"/>
        <w:jc w:val="center"/>
        <w:rPr>
          <w:rFonts w:ascii="Times New Roman" w:hAnsi="Times New Roman" w:eastAsia="Calibri" w:cs="Times New Roman"/>
          <w:sz w:val="72"/>
          <w:szCs w:val="72"/>
          <w:u w:val="single"/>
          <w:lang w:val="pt-BR"/>
        </w:rPr>
      </w:pPr>
      <w:r>
        <w:rPr>
          <w:rFonts w:eastAsia="Calibri" w:cs="Times New Roman" w:ascii="Times New Roman" w:hAnsi="Times New Roman"/>
          <w:sz w:val="72"/>
          <w:szCs w:val="72"/>
          <w:u w:val="single"/>
          <w:lang w:val="pt-BR"/>
        </w:rPr>
      </w:r>
    </w:p>
    <w:p>
      <w:pPr>
        <w:pStyle w:val="Normal"/>
        <w:tabs>
          <w:tab w:val="clear" w:pos="708"/>
          <w:tab w:val="left" w:pos="1027" w:leader="none"/>
        </w:tabs>
        <w:ind w:left="-567"/>
        <w:rPr>
          <w:rFonts w:ascii="Times New Roman" w:hAnsi="Times New Roman" w:cs="Times New Roman"/>
          <w:b/>
          <w:sz w:val="24"/>
          <w:szCs w:val="24"/>
          <w:u w:val="single"/>
          <w:lang w:val="pt-BR"/>
        </w:rPr>
      </w:pPr>
      <w:r>
        <w:rPr>
          <w:rFonts w:cs="Times New Roman" w:ascii="Times New Roman" w:hAnsi="Times New Roman"/>
          <w:b/>
          <w:sz w:val="24"/>
          <w:szCs w:val="24"/>
          <w:u w:val="single"/>
          <w:lang w:val="pt-BR"/>
        </w:rPr>
      </w:r>
    </w:p>
    <w:p>
      <w:pPr>
        <w:pStyle w:val="Normal"/>
        <w:tabs>
          <w:tab w:val="clear" w:pos="708"/>
          <w:tab w:val="left" w:pos="1027" w:leader="none"/>
        </w:tabs>
        <w:ind w:left="-567"/>
        <w:rPr>
          <w:rFonts w:ascii="Times New Roman" w:hAnsi="Times New Roman" w:eastAsia="Times New Roman" w:cs="Times New Roman"/>
          <w:b/>
          <w:sz w:val="24"/>
          <w:szCs w:val="24"/>
          <w:u w:val="single"/>
          <w:lang w:eastAsia="pt-PT"/>
        </w:rPr>
      </w:pPr>
      <w:r>
        <w:rPr>
          <w:rFonts w:cs="Times New Roman" w:ascii="Times New Roman" w:hAnsi="Times New Roman"/>
          <w:b/>
          <w:sz w:val="24"/>
          <w:szCs w:val="24"/>
          <w:u w:val="single"/>
          <w:lang w:val="pt-BR"/>
        </w:rPr>
        <w:t xml:space="preserve">Doações Recebidas pelo IONA J / </w:t>
      </w:r>
      <w:r>
        <w:rPr>
          <w:rFonts w:eastAsia="Times New Roman" w:cs="Times New Roman" w:ascii="Times New Roman" w:hAnsi="Times New Roman"/>
          <w:b/>
          <w:sz w:val="24"/>
          <w:szCs w:val="24"/>
          <w:u w:val="single"/>
          <w:lang w:eastAsia="pt-PT"/>
        </w:rPr>
        <w:t>2026</w:t>
      </w:r>
    </w:p>
    <w:tbl>
      <w:tblPr>
        <w:tblW w:w="7388" w:type="dxa"/>
        <w:jc w:val="left"/>
        <w:tblInd w:w="-289" w:type="dxa"/>
        <w:tblLayout w:type="fixed"/>
        <w:tblCellMar>
          <w:top w:w="0" w:type="dxa"/>
          <w:left w:w="70" w:type="dxa"/>
          <w:bottom w:w="0" w:type="dxa"/>
          <w:right w:w="70" w:type="dxa"/>
        </w:tblCellMar>
        <w:tblLook w:val="04a0" w:noHBand="0" w:noVBand="1" w:firstColumn="1" w:lastRow="0" w:lastColumn="0" w:firstRow="1"/>
      </w:tblPr>
      <w:tblGrid>
        <w:gridCol w:w="4463"/>
        <w:gridCol w:w="2000"/>
        <w:gridCol w:w="925"/>
      </w:tblGrid>
      <w:tr>
        <w:trPr>
          <w:trHeight w:val="234" w:hRule="atLeast"/>
        </w:trPr>
        <w:tc>
          <w:tcPr>
            <w:tcW w:w="4463" w:type="dxa"/>
            <w:tcBorders>
              <w:top w:val="single" w:sz="4" w:space="0" w:color="000000"/>
              <w:left w:val="single" w:sz="4" w:space="0" w:color="000000"/>
              <w:bottom w:val="single" w:sz="4" w:space="0" w:color="000000"/>
              <w:right w:val="single" w:sz="4" w:space="0" w:color="000000"/>
            </w:tcBorders>
            <w:shd w:color="auto" w:fill="C6D9F1" w:themeFill="text2" w:themeFillTint="33" w:val="clear"/>
            <w:vAlign w:val="center"/>
          </w:tcPr>
          <w:p>
            <w:pPr>
              <w:pStyle w:val="Normal"/>
              <w:spacing w:lineRule="auto" w:line="240" w:before="0" w:after="0"/>
              <w:ind w:left="-567"/>
              <w:jc w:val="center"/>
              <w:rPr>
                <w:rFonts w:ascii="Times New Roman" w:hAnsi="Times New Roman" w:eastAsia="Calibri" w:cs="Times New Roman"/>
                <w:b/>
                <w:sz w:val="24"/>
                <w:szCs w:val="24"/>
                <w:lang w:val="pt-BR"/>
              </w:rPr>
            </w:pPr>
            <w:r>
              <w:rPr>
                <w:rFonts w:eastAsia="Calibri" w:cs="Times New Roman" w:ascii="Times New Roman" w:hAnsi="Times New Roman"/>
                <w:b/>
                <w:sz w:val="24"/>
                <w:szCs w:val="24"/>
                <w:lang w:val="pt-BR"/>
              </w:rPr>
              <w:t>Descrição</w:t>
            </w:r>
          </w:p>
        </w:tc>
        <w:tc>
          <w:tcPr>
            <w:tcW w:w="2000" w:type="dxa"/>
            <w:tcBorders>
              <w:top w:val="single" w:sz="4" w:space="0" w:color="000000"/>
              <w:left w:val="single" w:sz="4" w:space="0" w:color="000000"/>
              <w:bottom w:val="single" w:sz="4" w:space="0" w:color="000000"/>
              <w:right w:val="single" w:sz="4" w:space="0" w:color="000000"/>
            </w:tcBorders>
            <w:shd w:color="auto" w:fill="C6D9F1" w:themeFill="text2" w:themeFillTint="33" w:val="clear"/>
          </w:tcPr>
          <w:p>
            <w:pPr>
              <w:pStyle w:val="Normal"/>
              <w:spacing w:lineRule="auto" w:line="240" w:before="0" w:after="0"/>
              <w:ind w:left="-567"/>
              <w:jc w:val="center"/>
              <w:rPr>
                <w:rFonts w:ascii="Times New Roman" w:hAnsi="Times New Roman" w:eastAsia="Calibri" w:cs="Times New Roman"/>
                <w:b/>
                <w:sz w:val="24"/>
                <w:szCs w:val="24"/>
                <w:lang w:val="pt-BR"/>
              </w:rPr>
            </w:pPr>
            <w:r>
              <w:rPr>
                <w:rFonts w:eastAsia="Calibri" w:cs="Times New Roman" w:ascii="Times New Roman" w:hAnsi="Times New Roman"/>
                <w:b/>
                <w:sz w:val="24"/>
                <w:szCs w:val="24"/>
                <w:lang w:val="pt-BR"/>
              </w:rPr>
              <w:t>Categoria</w:t>
            </w:r>
          </w:p>
        </w:tc>
        <w:tc>
          <w:tcPr>
            <w:tcW w:w="925" w:type="dxa"/>
            <w:tcBorders>
              <w:top w:val="single" w:sz="4" w:space="0" w:color="000000"/>
              <w:left w:val="single" w:sz="4" w:space="0" w:color="000000"/>
              <w:bottom w:val="single" w:sz="4" w:space="0" w:color="000000"/>
              <w:right w:val="single" w:sz="4" w:space="0" w:color="000000"/>
            </w:tcBorders>
            <w:shd w:color="auto" w:fill="C6D9F1" w:themeFill="text2" w:themeFillTint="33" w:val="clear"/>
          </w:tcPr>
          <w:p>
            <w:pPr>
              <w:pStyle w:val="Normal"/>
              <w:spacing w:lineRule="auto" w:line="240" w:before="0" w:after="0"/>
              <w:ind w:left="-567"/>
              <w:jc w:val="center"/>
              <w:rPr>
                <w:rFonts w:ascii="Times New Roman" w:hAnsi="Times New Roman" w:eastAsia="Calibri" w:cs="Times New Roman"/>
                <w:b/>
                <w:sz w:val="24"/>
                <w:szCs w:val="24"/>
                <w:lang w:val="pt-BR"/>
              </w:rPr>
            </w:pPr>
            <w:r>
              <w:rPr>
                <w:rFonts w:eastAsia="Calibri" w:cs="Times New Roman" w:ascii="Times New Roman" w:hAnsi="Times New Roman"/>
                <w:b/>
                <w:sz w:val="24"/>
                <w:szCs w:val="24"/>
                <w:lang w:val="pt-BR"/>
              </w:rPr>
              <w:t xml:space="preserve">   </w:t>
            </w:r>
            <w:r>
              <w:rPr>
                <w:rFonts w:eastAsia="Calibri" w:cs="Times New Roman" w:ascii="Times New Roman" w:hAnsi="Times New Roman"/>
                <w:b/>
                <w:sz w:val="24"/>
                <w:szCs w:val="24"/>
                <w:lang w:val="pt-BR"/>
              </w:rPr>
              <w:t>Qtd</w:t>
            </w:r>
          </w:p>
        </w:tc>
      </w:tr>
      <w:tr>
        <w:trPr>
          <w:trHeight w:val="234" w:hRule="atLeast"/>
        </w:trPr>
        <w:tc>
          <w:tcPr>
            <w:tcW w:w="44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right="9"/>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right="-11"/>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c>
          <w:tcPr>
            <w:tcW w:w="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24"/>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r>
      <w:tr>
        <w:trPr>
          <w:trHeight w:val="234" w:hRule="atLeast"/>
        </w:trPr>
        <w:tc>
          <w:tcPr>
            <w:tcW w:w="44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c>
          <w:tcPr>
            <w:tcW w:w="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r>
      <w:tr>
        <w:trPr>
          <w:trHeight w:val="234" w:hRule="atLeast"/>
        </w:trPr>
        <w:tc>
          <w:tcPr>
            <w:tcW w:w="44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283" w:left="-356"/>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c>
          <w:tcPr>
            <w:tcW w:w="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r>
      <w:tr>
        <w:trPr>
          <w:trHeight w:val="234" w:hRule="atLeast"/>
        </w:trPr>
        <w:tc>
          <w:tcPr>
            <w:tcW w:w="44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142" w:left="-215" w:right="-285"/>
              <w:rPr>
                <w:rFonts w:ascii="Times New Roman" w:hAnsi="Times New Roman" w:cs="Times New Roman"/>
                <w:sz w:val="24"/>
                <w:szCs w:val="24"/>
              </w:rPr>
            </w:pPr>
            <w:r>
              <w:rPr>
                <w:rFonts w:cs="Times New Roman" w:ascii="Times New Roman" w:hAnsi="Times New Roman"/>
                <w:sz w:val="24"/>
                <w:szCs w:val="24"/>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right="-285"/>
              <w:rPr>
                <w:rFonts w:ascii="Times New Roman" w:hAnsi="Times New Roman" w:cs="Times New Roman"/>
                <w:sz w:val="24"/>
                <w:szCs w:val="24"/>
              </w:rPr>
            </w:pPr>
            <w:r>
              <w:rPr>
                <w:rFonts w:cs="Times New Roman" w:ascii="Times New Roman" w:hAnsi="Times New Roman"/>
                <w:sz w:val="24"/>
                <w:szCs w:val="24"/>
              </w:rPr>
            </w:r>
          </w:p>
        </w:tc>
        <w:tc>
          <w:tcPr>
            <w:tcW w:w="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right="-285"/>
              <w:jc w:val="center"/>
              <w:rPr>
                <w:rFonts w:ascii="Times New Roman" w:hAnsi="Times New Roman" w:cs="Times New Roman"/>
                <w:sz w:val="24"/>
                <w:szCs w:val="24"/>
              </w:rPr>
            </w:pPr>
            <w:r>
              <w:rPr>
                <w:rFonts w:cs="Times New Roman" w:ascii="Times New Roman" w:hAnsi="Times New Roman"/>
                <w:sz w:val="24"/>
                <w:szCs w:val="24"/>
              </w:rPr>
            </w:r>
          </w:p>
        </w:tc>
      </w:tr>
      <w:tr>
        <w:trPr>
          <w:trHeight w:val="234" w:hRule="atLeast"/>
        </w:trPr>
        <w:tc>
          <w:tcPr>
            <w:tcW w:w="44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215" w:left="-215"/>
              <w:rPr>
                <w:rFonts w:ascii="Times New Roman" w:hAnsi="Times New Roman" w:cs="Times New Roman"/>
                <w:sz w:val="24"/>
                <w:szCs w:val="24"/>
              </w:rPr>
            </w:pPr>
            <w:r>
              <w:rPr>
                <w:rFonts w:cs="Times New Roman" w:ascii="Times New Roman" w:hAnsi="Times New Roman"/>
                <w:sz w:val="24"/>
                <w:szCs w:val="24"/>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c>
        <w:tc>
          <w:tcPr>
            <w:tcW w:w="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r>
        <w:trPr>
          <w:trHeight w:val="234" w:hRule="atLeast"/>
        </w:trPr>
        <w:tc>
          <w:tcPr>
            <w:tcW w:w="44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215" w:left="-215"/>
              <w:rPr>
                <w:rFonts w:ascii="Times New Roman" w:hAnsi="Times New Roman" w:cs="Times New Roman"/>
                <w:sz w:val="24"/>
                <w:szCs w:val="24"/>
              </w:rPr>
            </w:pPr>
            <w:r>
              <w:rPr>
                <w:rFonts w:cs="Times New Roman" w:ascii="Times New Roman" w:hAnsi="Times New Roman"/>
                <w:sz w:val="24"/>
                <w:szCs w:val="24"/>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c>
        <w:tc>
          <w:tcPr>
            <w:tcW w:w="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496" w:left="-567" w:right="-69"/>
              <w:rPr>
                <w:rFonts w:ascii="Times New Roman" w:hAnsi="Times New Roman" w:cs="Times New Roman"/>
                <w:sz w:val="24"/>
                <w:szCs w:val="24"/>
              </w:rPr>
            </w:pPr>
            <w:r>
              <w:rPr>
                <w:rFonts w:cs="Times New Roman" w:ascii="Times New Roman" w:hAnsi="Times New Roman"/>
                <w:sz w:val="24"/>
                <w:szCs w:val="24"/>
              </w:rPr>
            </w:r>
          </w:p>
        </w:tc>
      </w:tr>
      <w:tr>
        <w:trPr>
          <w:trHeight w:val="234" w:hRule="atLeast"/>
        </w:trPr>
        <w:tc>
          <w:tcPr>
            <w:tcW w:w="44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142" w:left="-215"/>
              <w:rPr>
                <w:rFonts w:ascii="Times New Roman" w:hAnsi="Times New Roman" w:cs="Times New Roman"/>
                <w:sz w:val="24"/>
                <w:szCs w:val="24"/>
              </w:rPr>
            </w:pPr>
            <w:r>
              <w:rPr>
                <w:rFonts w:cs="Times New Roman" w:ascii="Times New Roman" w:hAnsi="Times New Roman"/>
                <w:sz w:val="24"/>
                <w:szCs w:val="24"/>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c>
        <w:tc>
          <w:tcPr>
            <w:tcW w:w="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r>
        <w:trPr>
          <w:trHeight w:val="234" w:hRule="atLeast"/>
        </w:trPr>
        <w:tc>
          <w:tcPr>
            <w:tcW w:w="44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215" w:left="-215"/>
              <w:rPr>
                <w:rFonts w:ascii="Times New Roman" w:hAnsi="Times New Roman" w:cs="Times New Roman"/>
                <w:sz w:val="24"/>
                <w:szCs w:val="24"/>
              </w:rPr>
            </w:pPr>
            <w:r>
              <w:rPr>
                <w:rFonts w:cs="Times New Roman" w:ascii="Times New Roman" w:hAnsi="Times New Roman"/>
                <w:sz w:val="24"/>
                <w:szCs w:val="24"/>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c>
        <w:tc>
          <w:tcPr>
            <w:tcW w:w="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bl>
    <w:p>
      <w:pPr>
        <w:pStyle w:val="Normal"/>
        <w:tabs>
          <w:tab w:val="clear" w:pos="708"/>
          <w:tab w:val="left" w:pos="1027" w:leader="none"/>
        </w:tabs>
        <w:ind w:left="-567"/>
        <w:rPr/>
      </w:pPr>
      <w:r>
        <w:rPr/>
      </w:r>
    </w:p>
    <w:p>
      <w:pPr>
        <w:pStyle w:val="Normal"/>
        <w:tabs>
          <w:tab w:val="clear" w:pos="708"/>
          <w:tab w:val="left" w:pos="1027" w:leader="none"/>
        </w:tabs>
        <w:ind w:left="-567"/>
        <w:rPr/>
      </w:pPr>
      <w:r>
        <w:rPr/>
      </w:r>
    </w:p>
    <w:p>
      <w:pPr>
        <w:pStyle w:val="Normal"/>
        <w:tabs>
          <w:tab w:val="clear" w:pos="708"/>
          <w:tab w:val="left" w:pos="1027" w:leader="none"/>
        </w:tabs>
        <w:ind w:left="-567"/>
        <w:rPr/>
      </w:pPr>
      <w:r>
        <w:rPr>
          <w:rFonts w:cs="Times New Roman" w:ascii="Times New Roman" w:hAnsi="Times New Roman"/>
          <w:b/>
          <w:sz w:val="24"/>
          <w:szCs w:val="24"/>
          <w:u w:val="single"/>
          <w:lang w:val="pt-BR"/>
        </w:rPr>
        <w:t xml:space="preserve">Doações Efectuadas pelo IONA Fevereiro / </w:t>
      </w:r>
      <w:r>
        <w:rPr>
          <w:rFonts w:eastAsia="Times New Roman" w:cs="Times New Roman" w:ascii="Times New Roman" w:hAnsi="Times New Roman"/>
          <w:b/>
          <w:sz w:val="24"/>
          <w:szCs w:val="24"/>
          <w:u w:val="single"/>
          <w:lang w:eastAsia="pt-PT"/>
        </w:rPr>
        <w:t>2026</w:t>
      </w:r>
    </w:p>
    <w:p>
      <w:pPr>
        <w:pStyle w:val="Normal"/>
        <w:tabs>
          <w:tab w:val="clear" w:pos="708"/>
          <w:tab w:val="left" w:pos="1027" w:leader="none"/>
        </w:tabs>
        <w:ind w:left="-567"/>
        <w:rPr/>
      </w:pPr>
      <w:r>
        <w:rPr/>
      </w:r>
    </w:p>
    <w:tbl>
      <w:tblPr>
        <w:tblW w:w="7444" w:type="dxa"/>
        <w:jc w:val="left"/>
        <w:tblInd w:w="-209" w:type="dxa"/>
        <w:tblLayout w:type="fixed"/>
        <w:tblCellMar>
          <w:top w:w="0" w:type="dxa"/>
          <w:left w:w="70" w:type="dxa"/>
          <w:bottom w:w="0" w:type="dxa"/>
          <w:right w:w="70" w:type="dxa"/>
        </w:tblCellMar>
        <w:tblLook w:val="04a0" w:noHBand="0" w:noVBand="1" w:firstColumn="1" w:lastRow="0" w:lastColumn="0" w:firstRow="1"/>
      </w:tblPr>
      <w:tblGrid>
        <w:gridCol w:w="4554"/>
        <w:gridCol w:w="2094"/>
        <w:gridCol w:w="796"/>
      </w:tblGrid>
      <w:tr>
        <w:trPr>
          <w:trHeight w:val="283" w:hRule="atLeast"/>
        </w:trPr>
        <w:tc>
          <w:tcPr>
            <w:tcW w:w="4554" w:type="dxa"/>
            <w:tcBorders>
              <w:top w:val="single" w:sz="4" w:space="0" w:color="000000"/>
              <w:left w:val="single" w:sz="4" w:space="0" w:color="000000"/>
              <w:bottom w:val="single" w:sz="4" w:space="0" w:color="000000"/>
              <w:right w:val="single" w:sz="4" w:space="0" w:color="000000"/>
            </w:tcBorders>
            <w:shd w:color="auto" w:fill="C6D9F1" w:themeFill="text2" w:themeFillTint="33" w:val="clear"/>
            <w:vAlign w:val="center"/>
          </w:tcPr>
          <w:p>
            <w:pPr>
              <w:pStyle w:val="Normal"/>
              <w:spacing w:lineRule="auto" w:line="240" w:before="0" w:after="0"/>
              <w:ind w:left="-567"/>
              <w:jc w:val="center"/>
              <w:rPr>
                <w:rFonts w:ascii="Times New Roman" w:hAnsi="Times New Roman" w:eastAsia="Calibri" w:cs="Times New Roman"/>
                <w:b/>
                <w:sz w:val="24"/>
                <w:szCs w:val="24"/>
                <w:lang w:val="pt-BR"/>
              </w:rPr>
            </w:pPr>
            <w:r>
              <w:rPr>
                <w:rFonts w:eastAsia="Calibri" w:cs="Times New Roman" w:ascii="Times New Roman" w:hAnsi="Times New Roman"/>
                <w:b/>
                <w:sz w:val="24"/>
                <w:szCs w:val="24"/>
                <w:lang w:val="pt-BR"/>
              </w:rPr>
              <w:t>Descrição</w:t>
            </w:r>
          </w:p>
        </w:tc>
        <w:tc>
          <w:tcPr>
            <w:tcW w:w="2094" w:type="dxa"/>
            <w:tcBorders>
              <w:top w:val="single" w:sz="4" w:space="0" w:color="000000"/>
              <w:left w:val="single" w:sz="4" w:space="0" w:color="000000"/>
              <w:bottom w:val="single" w:sz="4" w:space="0" w:color="000000"/>
              <w:right w:val="single" w:sz="4" w:space="0" w:color="000000"/>
            </w:tcBorders>
            <w:shd w:color="auto" w:fill="C6D9F1" w:themeFill="text2" w:themeFillTint="33" w:val="clear"/>
          </w:tcPr>
          <w:p>
            <w:pPr>
              <w:pStyle w:val="Normal"/>
              <w:spacing w:lineRule="auto" w:line="240" w:before="0" w:after="0"/>
              <w:ind w:left="-567"/>
              <w:jc w:val="center"/>
              <w:rPr>
                <w:rFonts w:ascii="Times New Roman" w:hAnsi="Times New Roman" w:eastAsia="Calibri" w:cs="Times New Roman"/>
                <w:b/>
                <w:sz w:val="24"/>
                <w:szCs w:val="24"/>
                <w:lang w:val="pt-BR"/>
              </w:rPr>
            </w:pPr>
            <w:r>
              <w:rPr>
                <w:rFonts w:eastAsia="Calibri" w:cs="Times New Roman" w:ascii="Times New Roman" w:hAnsi="Times New Roman"/>
                <w:b/>
                <w:sz w:val="24"/>
                <w:szCs w:val="24"/>
                <w:lang w:val="pt-BR"/>
              </w:rPr>
              <w:t>Categoria</w:t>
            </w:r>
          </w:p>
        </w:tc>
        <w:tc>
          <w:tcPr>
            <w:tcW w:w="796" w:type="dxa"/>
            <w:tcBorders>
              <w:top w:val="single" w:sz="4" w:space="0" w:color="000000"/>
              <w:left w:val="single" w:sz="4" w:space="0" w:color="000000"/>
              <w:bottom w:val="single" w:sz="4" w:space="0" w:color="000000"/>
              <w:right w:val="single" w:sz="4" w:space="0" w:color="000000"/>
            </w:tcBorders>
            <w:shd w:color="auto" w:fill="C6D9F1" w:themeFill="text2" w:themeFillTint="33" w:val="clear"/>
          </w:tcPr>
          <w:p>
            <w:pPr>
              <w:pStyle w:val="Normal"/>
              <w:spacing w:lineRule="auto" w:line="240" w:before="0" w:after="0"/>
              <w:ind w:firstLine="216" w:left="-567"/>
              <w:jc w:val="center"/>
              <w:rPr>
                <w:rFonts w:ascii="Times New Roman" w:hAnsi="Times New Roman" w:eastAsia="Calibri" w:cs="Times New Roman"/>
                <w:b/>
                <w:sz w:val="24"/>
                <w:szCs w:val="24"/>
                <w:lang w:val="pt-BR"/>
              </w:rPr>
            </w:pPr>
            <w:r>
              <w:rPr>
                <w:rFonts w:eastAsia="Calibri" w:cs="Times New Roman" w:ascii="Times New Roman" w:hAnsi="Times New Roman"/>
                <w:b/>
                <w:sz w:val="24"/>
                <w:szCs w:val="24"/>
                <w:lang w:val="pt-BR"/>
              </w:rPr>
              <w:t>Qtd</w:t>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0" w:left="-567"/>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left="-567"/>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567" w:left="-567"/>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left="-567"/>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567" w:left="-567"/>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0" w:left="-567" w:right="-285"/>
              <w:rPr>
                <w:rFonts w:ascii="Times New Roman" w:hAnsi="Times New Roman" w:cs="Times New Roman"/>
                <w:sz w:val="24"/>
                <w:szCs w:val="24"/>
              </w:rPr>
            </w:pPr>
            <w:r>
              <w:rPr>
                <w:rFonts w:cs="Times New Roman" w:ascii="Times New Roman" w:hAnsi="Times New Roman"/>
                <w:sz w:val="24"/>
                <w:szCs w:val="24"/>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right="-285"/>
              <w:rPr>
                <w:rFonts w:ascii="Times New Roman" w:hAnsi="Times New Roman" w:cs="Times New Roman"/>
                <w:sz w:val="24"/>
                <w:szCs w:val="24"/>
              </w:rPr>
            </w:pPr>
            <w:r>
              <w:rPr>
                <w:rFonts w:cs="Times New Roman" w:ascii="Times New Roman" w:hAnsi="Times New Roman"/>
                <w:sz w:val="24"/>
                <w:szCs w:val="24"/>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567" w:left="-567" w:right="-285"/>
              <w:rPr>
                <w:rFonts w:ascii="Times New Roman" w:hAnsi="Times New Roman" w:cs="Times New Roman"/>
                <w:sz w:val="24"/>
                <w:szCs w:val="24"/>
              </w:rPr>
            </w:pPr>
            <w:r>
              <w:rPr>
                <w:rFonts w:cs="Times New Roman" w:ascii="Times New Roman" w:hAnsi="Times New Roman"/>
                <w:sz w:val="24"/>
                <w:szCs w:val="24"/>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left="-567"/>
              <w:rPr>
                <w:rFonts w:ascii="Times New Roman" w:hAnsi="Times New Roman" w:cs="Times New Roman"/>
                <w:sz w:val="24"/>
                <w:szCs w:val="24"/>
              </w:rPr>
            </w:pPr>
            <w:r>
              <w:rPr>
                <w:rFonts w:cs="Times New Roman" w:ascii="Times New Roman" w:hAnsi="Times New Roman"/>
                <w:sz w:val="24"/>
                <w:szCs w:val="24"/>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left="-567"/>
              <w:rPr>
                <w:rFonts w:ascii="Times New Roman" w:hAnsi="Times New Roman" w:cs="Times New Roman"/>
                <w:sz w:val="24"/>
                <w:szCs w:val="24"/>
              </w:rPr>
            </w:pPr>
            <w:r>
              <w:rPr>
                <w:rFonts w:cs="Times New Roman" w:ascii="Times New Roman" w:hAnsi="Times New Roman"/>
                <w:sz w:val="24"/>
                <w:szCs w:val="24"/>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567" w:left="-567"/>
              <w:rPr>
                <w:rFonts w:ascii="Times New Roman" w:hAnsi="Times New Roman" w:cs="Times New Roman"/>
                <w:sz w:val="24"/>
                <w:szCs w:val="24"/>
              </w:rPr>
            </w:pPr>
            <w:r>
              <w:rPr>
                <w:rFonts w:cs="Times New Roman" w:ascii="Times New Roman" w:hAnsi="Times New Roman"/>
                <w:sz w:val="24"/>
                <w:szCs w:val="24"/>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left="-567"/>
              <w:rPr>
                <w:rFonts w:ascii="Times New Roman" w:hAnsi="Times New Roman" w:cs="Times New Roman"/>
                <w:sz w:val="24"/>
                <w:szCs w:val="24"/>
              </w:rPr>
            </w:pPr>
            <w:r>
              <w:rPr>
                <w:rFonts w:cs="Times New Roman" w:ascii="Times New Roman" w:hAnsi="Times New Roman"/>
                <w:sz w:val="24"/>
                <w:szCs w:val="24"/>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567" w:left="-567"/>
              <w:rPr>
                <w:rFonts w:ascii="Times New Roman" w:hAnsi="Times New Roman" w:cs="Times New Roman"/>
                <w:sz w:val="24"/>
                <w:szCs w:val="24"/>
              </w:rPr>
            </w:pPr>
            <w:r>
              <w:rPr>
                <w:rFonts w:cs="Times New Roman" w:ascii="Times New Roman" w:hAnsi="Times New Roman"/>
                <w:sz w:val="24"/>
                <w:szCs w:val="24"/>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left="-567"/>
              <w:rPr>
                <w:rFonts w:ascii="Times New Roman" w:hAnsi="Times New Roman" w:cs="Times New Roman"/>
                <w:sz w:val="24"/>
                <w:szCs w:val="24"/>
              </w:rPr>
            </w:pPr>
            <w:r>
              <w:rPr>
                <w:rFonts w:cs="Times New Roman" w:ascii="Times New Roman" w:hAnsi="Times New Roman"/>
                <w:sz w:val="24"/>
                <w:szCs w:val="24"/>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567" w:left="-567"/>
              <w:rPr>
                <w:rFonts w:ascii="Times New Roman" w:hAnsi="Times New Roman" w:eastAsia="Calibri" w:cs="Times New Roman"/>
                <w:sz w:val="24"/>
                <w:szCs w:val="24"/>
                <w:lang w:val="pt-BR"/>
              </w:rPr>
            </w:pPr>
            <w:r>
              <w:rPr>
                <w:rFonts w:eastAsia="Calibri" w:cs="Times New Roman" w:ascii="Times New Roman" w:hAnsi="Times New Roman"/>
                <w:sz w:val="24"/>
                <w:szCs w:val="24"/>
                <w:lang w:val="pt-BR"/>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0" w:left="-567"/>
              <w:rPr>
                <w:rFonts w:ascii="Times New Roman" w:hAnsi="Times New Roman" w:cs="Times New Roman"/>
                <w:sz w:val="24"/>
                <w:szCs w:val="24"/>
              </w:rPr>
            </w:pPr>
            <w:r>
              <w:rPr>
                <w:rFonts w:cs="Times New Roman" w:ascii="Times New Roman" w:hAnsi="Times New Roman"/>
                <w:sz w:val="24"/>
                <w:szCs w:val="24"/>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left="-567"/>
              <w:rPr>
                <w:rFonts w:ascii="Times New Roman" w:hAnsi="Times New Roman" w:cs="Times New Roman"/>
                <w:sz w:val="24"/>
                <w:szCs w:val="24"/>
              </w:rPr>
            </w:pPr>
            <w:r>
              <w:rPr>
                <w:rFonts w:cs="Times New Roman" w:ascii="Times New Roman" w:hAnsi="Times New Roman"/>
                <w:sz w:val="24"/>
                <w:szCs w:val="24"/>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708" w:left="-567"/>
              <w:rPr>
                <w:rFonts w:ascii="Times New Roman" w:hAnsi="Times New Roman" w:cs="Times New Roman"/>
                <w:sz w:val="24"/>
                <w:szCs w:val="24"/>
              </w:rPr>
            </w:pPr>
            <w:r>
              <w:rPr>
                <w:rFonts w:cs="Times New Roman" w:ascii="Times New Roman" w:hAnsi="Times New Roman"/>
                <w:sz w:val="24"/>
                <w:szCs w:val="24"/>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left="-567"/>
              <w:rPr>
                <w:rFonts w:ascii="Times New Roman" w:hAnsi="Times New Roman" w:cs="Times New Roman"/>
                <w:sz w:val="24"/>
                <w:szCs w:val="24"/>
              </w:rPr>
            </w:pPr>
            <w:r>
              <w:rPr>
                <w:rFonts w:cs="Times New Roman" w:ascii="Times New Roman" w:hAnsi="Times New Roman"/>
                <w:sz w:val="24"/>
                <w:szCs w:val="24"/>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567" w:left="-567"/>
              <w:rPr>
                <w:rFonts w:ascii="Times New Roman" w:hAnsi="Times New Roman" w:cs="Times New Roman"/>
                <w:sz w:val="24"/>
                <w:szCs w:val="24"/>
              </w:rPr>
            </w:pPr>
            <w:r>
              <w:rPr>
                <w:rFonts w:cs="Times New Roman" w:ascii="Times New Roman" w:hAnsi="Times New Roman"/>
                <w:sz w:val="24"/>
                <w:szCs w:val="24"/>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left="-567"/>
              <w:rPr>
                <w:rFonts w:ascii="Times New Roman" w:hAnsi="Times New Roman" w:cs="Times New Roman"/>
                <w:sz w:val="24"/>
                <w:szCs w:val="24"/>
              </w:rPr>
            </w:pPr>
            <w:r>
              <w:rPr>
                <w:rFonts w:cs="Times New Roman" w:ascii="Times New Roman" w:hAnsi="Times New Roman"/>
                <w:sz w:val="24"/>
                <w:szCs w:val="24"/>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708" w:left="-567"/>
              <w:rPr>
                <w:rFonts w:ascii="Times New Roman" w:hAnsi="Times New Roman" w:cs="Times New Roman"/>
                <w:sz w:val="24"/>
                <w:szCs w:val="24"/>
              </w:rPr>
            </w:pPr>
            <w:r>
              <w:rPr>
                <w:rFonts w:cs="Times New Roman" w:ascii="Times New Roman" w:hAnsi="Times New Roman"/>
                <w:sz w:val="24"/>
                <w:szCs w:val="24"/>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left="-567"/>
              <w:rPr>
                <w:rFonts w:ascii="Times New Roman" w:hAnsi="Times New Roman" w:cs="Times New Roman"/>
                <w:sz w:val="24"/>
                <w:szCs w:val="24"/>
              </w:rPr>
            </w:pPr>
            <w:r>
              <w:rPr>
                <w:rFonts w:cs="Times New Roman" w:ascii="Times New Roman" w:hAnsi="Times New Roman"/>
                <w:sz w:val="24"/>
                <w:szCs w:val="24"/>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708" w:left="-567"/>
              <w:rPr>
                <w:rFonts w:ascii="Times New Roman" w:hAnsi="Times New Roman" w:cs="Times New Roman"/>
                <w:sz w:val="24"/>
                <w:szCs w:val="24"/>
              </w:rPr>
            </w:pPr>
            <w:r>
              <w:rPr>
                <w:rFonts w:cs="Times New Roman" w:ascii="Times New Roman" w:hAnsi="Times New Roman"/>
                <w:sz w:val="24"/>
                <w:szCs w:val="24"/>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0" w:left="-567"/>
              <w:rPr>
                <w:rFonts w:ascii="Times New Roman" w:hAnsi="Times New Roman" w:cs="Times New Roman"/>
                <w:sz w:val="24"/>
                <w:szCs w:val="24"/>
              </w:rPr>
            </w:pPr>
            <w:r>
              <w:rPr>
                <w:rFonts w:cs="Times New Roman" w:ascii="Times New Roman" w:hAnsi="Times New Roman"/>
                <w:sz w:val="24"/>
                <w:szCs w:val="24"/>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708" w:left="-567"/>
              <w:rPr>
                <w:rFonts w:ascii="Times New Roman" w:hAnsi="Times New Roman" w:cs="Times New Roman"/>
                <w:sz w:val="24"/>
                <w:szCs w:val="24"/>
              </w:rPr>
            </w:pPr>
            <w:r>
              <w:rPr>
                <w:rFonts w:cs="Times New Roman" w:ascii="Times New Roman" w:hAnsi="Times New Roman"/>
                <w:sz w:val="24"/>
                <w:szCs w:val="24"/>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left="-567"/>
              <w:rPr>
                <w:rFonts w:ascii="Times New Roman" w:hAnsi="Times New Roman" w:cs="Times New Roman"/>
                <w:sz w:val="24"/>
                <w:szCs w:val="24"/>
              </w:rPr>
            </w:pPr>
            <w:r>
              <w:rPr>
                <w:rFonts w:cs="Times New Roman" w:ascii="Times New Roman" w:hAnsi="Times New Roman"/>
                <w:sz w:val="24"/>
                <w:szCs w:val="24"/>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708" w:left="-567"/>
              <w:rPr>
                <w:rFonts w:ascii="Times New Roman" w:hAnsi="Times New Roman" w:cs="Times New Roman"/>
                <w:sz w:val="24"/>
                <w:szCs w:val="24"/>
              </w:rPr>
            </w:pPr>
            <w:r>
              <w:rPr>
                <w:rFonts w:cs="Times New Roman" w:ascii="Times New Roman" w:hAnsi="Times New Roman"/>
                <w:sz w:val="24"/>
                <w:szCs w:val="24"/>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r>
        <w:trPr>
          <w:trHeight w:val="283" w:hRule="atLeast"/>
        </w:trPr>
        <w:tc>
          <w:tcPr>
            <w:tcW w:w="45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0" w:left="-567"/>
              <w:rPr>
                <w:rFonts w:ascii="Times New Roman" w:hAnsi="Times New Roman" w:cs="Times New Roman"/>
                <w:sz w:val="24"/>
                <w:szCs w:val="24"/>
              </w:rPr>
            </w:pPr>
            <w:r>
              <w:rPr>
                <w:rFonts w:cs="Times New Roman" w:ascii="Times New Roman" w:hAnsi="Times New Roman"/>
                <w:sz w:val="24"/>
                <w:szCs w:val="24"/>
              </w:rPr>
            </w:r>
          </w:p>
        </w:tc>
        <w:tc>
          <w:tcPr>
            <w:tcW w:w="20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708" w:left="-567"/>
              <w:rPr>
                <w:rFonts w:ascii="Times New Roman" w:hAnsi="Times New Roman" w:cs="Times New Roman"/>
                <w:sz w:val="24"/>
                <w:szCs w:val="24"/>
              </w:rPr>
            </w:pPr>
            <w:r>
              <w:rPr>
                <w:rFonts w:cs="Times New Roman" w:ascii="Times New Roman" w:hAnsi="Times New Roman"/>
                <w:sz w:val="24"/>
                <w:szCs w:val="24"/>
              </w:rPr>
            </w:r>
          </w:p>
        </w:tc>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567"/>
              <w:jc w:val="center"/>
              <w:rPr>
                <w:rFonts w:ascii="Times New Roman" w:hAnsi="Times New Roman" w:cs="Times New Roman"/>
                <w:sz w:val="24"/>
                <w:szCs w:val="24"/>
              </w:rPr>
            </w:pPr>
            <w:r>
              <w:rPr>
                <w:rFonts w:cs="Times New Roman" w:ascii="Times New Roman" w:hAnsi="Times New Roman"/>
                <w:sz w:val="24"/>
                <w:szCs w:val="24"/>
              </w:rPr>
            </w:r>
          </w:p>
        </w:tc>
      </w:tr>
    </w:tbl>
    <w:p>
      <w:pPr>
        <w:pStyle w:val="Normal"/>
        <w:ind w:left="-567"/>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p>
      <w:pPr>
        <w:pStyle w:val="Normal"/>
        <w:ind w:left="-567"/>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p>
      <w:pPr>
        <w:pStyle w:val="Normal"/>
        <w:ind w:left="-567"/>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p>
      <w:pPr>
        <w:pStyle w:val="Normal"/>
        <w:ind w:left="-567"/>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p>
      <w:pPr>
        <w:pStyle w:val="Normal"/>
        <w:spacing w:lineRule="auto" w:line="240" w:before="0" w:after="0"/>
        <w:ind w:left="-567"/>
        <w:jc w:val="both"/>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p>
      <w:pPr>
        <w:pStyle w:val="Normal"/>
        <w:spacing w:lineRule="auto" w:line="240" w:before="0" w:after="0"/>
        <w:ind w:left="-567"/>
        <w:jc w:val="both"/>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p>
      <w:pPr>
        <w:pStyle w:val="Normal"/>
        <w:spacing w:lineRule="auto" w:line="240" w:before="0" w:after="0"/>
        <w:ind w:left="-567"/>
        <w:jc w:val="both"/>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p>
      <w:pPr>
        <w:pStyle w:val="Normal"/>
        <w:spacing w:lineRule="auto" w:line="240" w:before="0" w:after="0"/>
        <w:ind w:left="-567"/>
        <w:jc w:val="both"/>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p>
      <w:pPr>
        <w:pStyle w:val="Normal"/>
        <w:spacing w:lineRule="auto" w:line="240" w:before="0" w:after="0"/>
        <w:ind w:left="-567"/>
        <w:jc w:val="both"/>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p>
      <w:pPr>
        <w:pStyle w:val="Normal"/>
        <w:spacing w:lineRule="auto" w:line="240" w:before="0" w:after="0"/>
        <w:ind w:left="-567"/>
        <w:jc w:val="both"/>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p>
      <w:pPr>
        <w:pStyle w:val="Normal"/>
        <w:spacing w:lineRule="auto" w:line="240" w:before="0" w:after="0"/>
        <w:jc w:val="both"/>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p>
      <w:pPr>
        <w:pStyle w:val="Normal"/>
        <w:spacing w:lineRule="auto" w:line="240" w:before="0" w:after="0"/>
        <w:ind w:left="-567"/>
        <w:jc w:val="both"/>
        <w:rPr>
          <w:rFonts w:ascii="Times New Roman" w:hAnsi="Times New Roman" w:eastAsia="Times New Roman" w:cs="Times New Roman"/>
          <w:sz w:val="24"/>
          <w:szCs w:val="24"/>
          <w:lang w:eastAsia="pt-PT"/>
        </w:rPr>
      </w:pPr>
      <w:r>
        <w:rPr>
          <w:rFonts w:eastAsia="Times New Roman" w:cs="Times New Roman" w:ascii="Times New Roman" w:hAnsi="Times New Roman"/>
          <w:sz w:val="24"/>
          <w:szCs w:val="24"/>
          <w:lang w:eastAsia="pt-PT"/>
        </w:rPr>
      </w:r>
    </w:p>
    <w:p>
      <w:pPr>
        <w:pStyle w:val="ListParagraph"/>
        <w:numPr>
          <w:ilvl w:val="0"/>
          <w:numId w:val="7"/>
        </w:numPr>
        <w:ind w:hanging="0" w:left="-1276"/>
        <w:rPr>
          <w:rFonts w:ascii="Times New Roman" w:hAnsi="Times New Roman"/>
          <w:b/>
          <w:sz w:val="28"/>
          <w:szCs w:val="28"/>
          <w:u w:val="single"/>
        </w:rPr>
      </w:pPr>
      <w:r>
        <w:rPr>
          <w:rFonts w:ascii="Times New Roman" w:hAnsi="Times New Roman"/>
          <w:b/>
          <w:sz w:val="28"/>
          <w:szCs w:val="28"/>
          <w:u w:val="single"/>
        </w:rPr>
        <w:t>Relatório de Consumo Geral da Farmácia IONA/ Janeiro de 2026</w:t>
      </w:r>
    </w:p>
    <w:p>
      <w:pPr>
        <w:pStyle w:val="Normal"/>
        <w:spacing w:lineRule="auto" w:line="259" w:before="0" w:after="0"/>
        <w:ind w:left="-567"/>
        <w:rPr/>
      </w:pPr>
      <w:r>
        <w:rPr/>
      </w:r>
    </w:p>
    <w:tbl>
      <w:tblPr>
        <w:tblW w:w="95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0"/>
        <w:gridCol w:w="1629"/>
        <w:gridCol w:w="2857"/>
        <w:gridCol w:w="787"/>
      </w:tblGrid>
      <w:tr>
        <w:trPr>
          <w:trHeight w:val="300" w:hRule="atLeast"/>
        </w:trPr>
        <w:tc>
          <w:tcPr>
            <w:tcW w:w="4250" w:type="dxa"/>
            <w:tcBorders>
              <w:top w:val="single" w:sz="4" w:space="0" w:color="4472C4"/>
              <w:left w:val="single" w:sz="4" w:space="0" w:color="4472C4"/>
            </w:tcBorders>
            <w:shd w:color="4472C4" w:fill="4472C4" w:val="clear"/>
            <w:vAlign w:val="bottom"/>
          </w:tcPr>
          <w:p>
            <w:pPr>
              <w:pStyle w:val="Normal"/>
              <w:spacing w:lineRule="auto" w:line="240" w:before="0" w:after="0"/>
              <w:rPr>
                <w:rFonts w:ascii="Calibri" w:hAnsi="Calibri" w:eastAsia="Times New Roman" w:cs="Calibri"/>
                <w:b/>
                <w:bCs/>
                <w:color w:val="FFFFFF"/>
              </w:rPr>
            </w:pPr>
            <w:r>
              <w:rPr>
                <w:rFonts w:eastAsia="Times New Roman" w:cs="Calibri" w:ascii="Calibri" w:hAnsi="Calibri"/>
                <w:b/>
                <w:bCs/>
                <w:color w:val="FFFFFF"/>
              </w:rPr>
              <w:t>DESCRIÇÃO</w:t>
            </w:r>
          </w:p>
        </w:tc>
        <w:tc>
          <w:tcPr>
            <w:tcW w:w="1629" w:type="dxa"/>
            <w:tcBorders>
              <w:top w:val="single" w:sz="4" w:space="0" w:color="4472C4"/>
            </w:tcBorders>
            <w:shd w:color="4472C4" w:fill="4472C4" w:val="clear"/>
            <w:vAlign w:val="bottom"/>
          </w:tcPr>
          <w:p>
            <w:pPr>
              <w:pStyle w:val="Normal"/>
              <w:spacing w:lineRule="auto" w:line="240" w:before="0" w:after="0"/>
              <w:rPr>
                <w:rFonts w:ascii="Calibri" w:hAnsi="Calibri" w:eastAsia="Times New Roman" w:cs="Calibri"/>
                <w:b/>
                <w:bCs/>
                <w:color w:val="FFFFFF"/>
              </w:rPr>
            </w:pPr>
            <w:r>
              <w:rPr>
                <w:rFonts w:eastAsia="Times New Roman" w:cs="Calibri" w:ascii="Calibri" w:hAnsi="Calibri"/>
                <w:b/>
                <w:bCs/>
                <w:color w:val="FFFFFF"/>
              </w:rPr>
              <w:t>DOSAGEM</w:t>
            </w:r>
          </w:p>
        </w:tc>
        <w:tc>
          <w:tcPr>
            <w:tcW w:w="2857" w:type="dxa"/>
            <w:tcBorders>
              <w:top w:val="single" w:sz="4" w:space="0" w:color="4472C4"/>
            </w:tcBorders>
            <w:shd w:color="4472C4" w:fill="4472C4" w:val="clear"/>
            <w:vAlign w:val="bottom"/>
          </w:tcPr>
          <w:p>
            <w:pPr>
              <w:pStyle w:val="Normal"/>
              <w:spacing w:lineRule="auto" w:line="240" w:before="0" w:after="0"/>
              <w:rPr>
                <w:rFonts w:ascii="Calibri" w:hAnsi="Calibri" w:eastAsia="Times New Roman" w:cs="Calibri"/>
                <w:b/>
                <w:bCs/>
                <w:color w:val="FFFFFF"/>
              </w:rPr>
            </w:pPr>
            <w:r>
              <w:rPr>
                <w:rFonts w:eastAsia="Times New Roman" w:cs="Calibri" w:ascii="Calibri" w:hAnsi="Calibri"/>
                <w:b/>
                <w:bCs/>
                <w:color w:val="FFFFFF"/>
              </w:rPr>
              <w:t>CATEGORIA</w:t>
            </w:r>
          </w:p>
        </w:tc>
        <w:tc>
          <w:tcPr>
            <w:tcW w:w="787" w:type="dxa"/>
            <w:tcBorders>
              <w:top w:val="single" w:sz="4" w:space="0" w:color="4472C4"/>
              <w:right w:val="single" w:sz="4" w:space="0" w:color="4472C4"/>
            </w:tcBorders>
            <w:shd w:color="4472C4" w:fill="4472C4" w:val="clear"/>
            <w:vAlign w:val="bottom"/>
          </w:tcPr>
          <w:p>
            <w:pPr>
              <w:pStyle w:val="Normal"/>
              <w:spacing w:lineRule="auto" w:line="240" w:before="0" w:after="0"/>
              <w:rPr>
                <w:rFonts w:ascii="Calibri" w:hAnsi="Calibri" w:eastAsia="Times New Roman" w:cs="Calibri"/>
                <w:b/>
                <w:bCs/>
                <w:color w:val="FFFFFF"/>
              </w:rPr>
            </w:pPr>
            <w:r>
              <w:rPr>
                <w:rFonts w:eastAsia="Times New Roman" w:cs="Calibri" w:ascii="Calibri" w:hAnsi="Calibri"/>
                <w:b/>
                <w:bCs/>
                <w:color w:val="FFFFFF"/>
              </w:rPr>
              <w:t xml:space="preserve">TOTAL </w:t>
            </w:r>
          </w:p>
        </w:tc>
      </w:tr>
      <w:tr>
        <w:trPr>
          <w:trHeight w:val="315" w:hRule="atLeast"/>
        </w:trPr>
        <w:tc>
          <w:tcPr>
            <w:tcW w:w="4250"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ACETAZOLAMIDA</w:t>
            </w:r>
          </w:p>
        </w:tc>
        <w:tc>
          <w:tcPr>
            <w:tcW w:w="1629" w:type="dxa"/>
            <w:tcBorders>
              <w:top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250MG</w:t>
            </w:r>
          </w:p>
        </w:tc>
        <w:tc>
          <w:tcPr>
            <w:tcW w:w="2857" w:type="dxa"/>
            <w:tcBorders>
              <w:top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top w:val="single" w:sz="4" w:space="0" w:color="000000"/>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ACICLOVIR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ACICLOVIR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400MG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360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ACIDO ÚRICO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REAGENTE LABORATORIO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ACIDO ACETILSALICILICO (ASPIRINA)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280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ACYCLOVIR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GEL OFTALMICO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ADESIVO PERFURADO (18CM.5M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AGUA OXIGENADA 10 VOL</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250ML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ANTISSEPTICO/DESINFECTANT</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AGULHA G 21</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CORRELATO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AGULHA G 23</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CORRELATO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800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AGULHA DE FACO</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CORRELATO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ALBENDAZOL</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400MG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ALCOLL EM GEL BENTOL</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500ML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ANTISSEPTICO/DESINFECTANT</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13</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ALCOOL EM GEL 5LT</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500ML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ANTISSEPTICO/DESINFECTANT</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ALCOOL ETILICO 70%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200ML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ANTISSEPTICO/DESINFECTANT</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ALCOOL ETILICO 70%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400ML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ANTISSEPTICO/DESINFECTANT</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90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ALCOOL ETILICO 96%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400ML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ANTISSEPTICO/DESINFECTANT</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26</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ALPRAZOLAM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0.25MG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75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ALPRAZOLAM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0.5MG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160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AMLODIPINA</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540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AMOXICILINA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125ML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XAROPE</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AMOXICILINA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250MG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370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AMOXICILINA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140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ANAFLAM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900MG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ANESTOCIL</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4MG/10ML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ARTEMETHER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80MG/ML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ARTEMETHER L FORTE 6C</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80/480MG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48</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ARTEMETHER LUMEFANTRINA  24C</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20/120MG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96</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ATROPINA 0,5%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ATROPINA 1%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333</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ATROPINA 1MG /ML</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1MG/ML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150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AVASTIN 25MG/ML--10MG/4ML</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25/10MG/4ML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AZITROMICINA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BALACED  SOLUÇAO DE IRRIGAÇÃO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500ML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SORO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120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BATAS DESCARTAVEIS AZUIS</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480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BIMATOPROST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0,03%</w:t>
            </w:r>
          </w:p>
        </w:tc>
        <w:tc>
          <w:tcPr>
            <w:tcW w:w="2857"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BIMATOPROST + TIMOLOL</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151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BISTURI CRESCENT BEVEL UP 2.0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507</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BISTURI DESCARTAVEIS 15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594</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BISTURI DESCARTAVEIS 3.2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272</w:t>
            </w:r>
          </w:p>
        </w:tc>
      </w:tr>
      <w:tr>
        <w:trPr>
          <w:trHeight w:val="315" w:hRule="atLeast"/>
        </w:trPr>
        <w:tc>
          <w:tcPr>
            <w:tcW w:w="4250"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BLUE TRIPAN</w:t>
            </w:r>
          </w:p>
        </w:tc>
        <w:tc>
          <w:tcPr>
            <w:tcW w:w="1629" w:type="dxa"/>
            <w:tcBorders>
              <w:top w:val="single" w:sz="4" w:space="0" w:color="000000"/>
              <w:left w:val="single" w:sz="4" w:space="0" w:color="000000"/>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21</w:t>
            </w:r>
          </w:p>
        </w:tc>
      </w:tr>
      <w:tr>
        <w:trPr>
          <w:trHeight w:val="315" w:hRule="atLeast"/>
        </w:trPr>
        <w:tc>
          <w:tcPr>
            <w:tcW w:w="4250"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BORBOLETA G 23</w:t>
            </w:r>
          </w:p>
        </w:tc>
        <w:tc>
          <w:tcPr>
            <w:tcW w:w="1629" w:type="dxa"/>
            <w:tcBorders>
              <w:top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top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CORRELATO</w:t>
            </w:r>
          </w:p>
        </w:tc>
        <w:tc>
          <w:tcPr>
            <w:tcW w:w="787" w:type="dxa"/>
            <w:tcBorders>
              <w:top w:val="single" w:sz="4" w:space="0" w:color="000000"/>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BOTAS  DESCARTAVEIS</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1700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BRIMONIDINA 2%</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584</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BRIMONIDINA 2% + TIMOLOL 0,5%</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525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BRINZOLAMIDA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BRINZOLAMIDA 1% + BRIMONIDINA 0.2%</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153</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BROMEXINA</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1.6MG/ML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XAROPE</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BUPIVACAINA BRAUN 0.5%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CAMPO FINESTRATO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CIRURGICO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360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CANULA 22G/25MM</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CORRELATO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CANULA 24G/19MM</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CORRELATO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CAPTOPRIL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25MG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CARBACOL INTRAOCULAR 0.01%</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250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CASSETE COMBINADA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CIRURGICO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CASSETE FACO</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CIRURGICO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CASSETE POSTERIOR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CIRURGICO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CEFAZOLINA SODICA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575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CEFTAZIDIMA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1000MG/3ML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175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CEFTRIAXONA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241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CICLOPENTOLATO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10MG/5ML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CIPROFLOXACINA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3MG/10ML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161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CIPROFLOXACINA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POMADA OFTALMICA</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CLAVAMOX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625MG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14</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CLORAFENICOL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CLORAFENICOL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POMADA OFTALMICA</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167</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CLORETO DE SODIO (OCULAR)</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113</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CLORIDRATO DE VANCOMICINA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COLESTEROL HDL (B)</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REAGENTE LABORATORIO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COLESTEROL LDL (M)</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REAGENTE LABORATORIO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COLESTEROL TRIGLICERIDOS  GPO PAP ( 4X60ML</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4/60ML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REAGENTE LABORATORIO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COMPLEXO B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230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COMPLEXO B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COMPLEXO B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XAROPE</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CONTENTOR PARA PERFURO CORTANTES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CUBETAS (BIOQUIMICA)</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MATERIAL LABORATORIO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360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CURITAS</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DESLORATADINA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DESLORATADINE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2,5MG/ML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XAROPE</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DEXAMETASONA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4MG/1ML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1800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DEXAMETASONA 0,1 + MOXIFLOXACINA</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205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DEXAMETAZONA 0,1%</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184</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DICLOFENAC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1MG/ 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583</w:t>
            </w:r>
          </w:p>
        </w:tc>
      </w:tr>
      <w:tr>
        <w:trPr>
          <w:trHeight w:val="315" w:hRule="atLeast"/>
        </w:trPr>
        <w:tc>
          <w:tcPr>
            <w:tcW w:w="4250"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DICLOFENAC </w:t>
            </w:r>
          </w:p>
        </w:tc>
        <w:tc>
          <w:tcPr>
            <w:tcW w:w="162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75MG/3ML</w:t>
            </w:r>
          </w:p>
        </w:tc>
        <w:tc>
          <w:tcPr>
            <w:tcW w:w="2857"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354</w:t>
            </w:r>
          </w:p>
        </w:tc>
      </w:tr>
      <w:tr>
        <w:trPr>
          <w:trHeight w:val="315" w:hRule="atLeast"/>
        </w:trPr>
        <w:tc>
          <w:tcPr>
            <w:tcW w:w="4250"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DICLOFENAC + PARACETAMOL </w:t>
            </w:r>
          </w:p>
        </w:tc>
        <w:tc>
          <w:tcPr>
            <w:tcW w:w="1629" w:type="dxa"/>
            <w:tcBorders>
              <w:top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550MG</w:t>
            </w:r>
          </w:p>
        </w:tc>
        <w:tc>
          <w:tcPr>
            <w:tcW w:w="2857" w:type="dxa"/>
            <w:tcBorders>
              <w:top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top w:val="single" w:sz="4" w:space="0" w:color="000000"/>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DIPIRONA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2.5MG/5ML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DORZOLAMIDA</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20MG/ML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438</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DORZOLAMIDA 2% + TIMOLOL 0,5%</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1458</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ENALAPRIL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20MG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425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ERITROMICINA</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ESCOVA DE ESPONJA CHLORHEXIDINE</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270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ESFIGMONOMETRO DIGITAL</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EQUIPAMENTO CLINICO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ESPIRONOLACTONA</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FATO CIRURGICO AZUL M</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FATO CIRURGICO AZUL XL</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FATO CIRURGICO AZUL XXL</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FATO CIRURGICO AZUL S</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FATO CIRURGICO AZUL L</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FENTANIL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0.1MG /2ML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FIO DE SUTURA ACIDO POLIGLICOLICO Nº5 3/8</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FIO DE SUTURA ACIDO POLIGLICOLICO Nº6 3/8</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60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FIO DE SUTURA ACIDO POLIGLICOLICO Nº7 3/8</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FIO DE SUTURA ACIDO POLIGLICOLICO Nº8 3/8</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60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FIO DE SUTURA NYLON Nº 10 3/8</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48</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FIO DE SUTURA SEDA Nº 6 3/8</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24</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FLUCONAZOL</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10MG/10ML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FLURBIPROFEN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0.03% 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16</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FML LIQUIDIFILM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FRALDAS P/ADULTOS</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FRALDAS P/CRIANÇAS</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62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FUROSEMIDA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40MG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GATIFLOXACIN</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GAZE  R/90CMX100M</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39</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GEL PARA ECOGRAFIA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250ML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GENTAMICINA + DEXAMETASONA</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GENTAMICINA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80MG/ 2ML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1620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GENTAMICINA 0.3%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43</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GENTAMICINA 0.3%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POMADA OFTALMICA</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GLUCOMETRO ACCU-CHEK</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EQUIPAMENTO CLINICO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GLUCOSE</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1/200ML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REAGENTE LABORATORIO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HEMOSTETA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HIDROCLORTIAZIDA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25MG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65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HIDROCORTISONA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250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HIPROMELOSE 2% (VISCO ELASTICO)</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MAT.CIRURGICO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429</w:t>
            </w:r>
          </w:p>
        </w:tc>
      </w:tr>
      <w:tr>
        <w:trPr>
          <w:trHeight w:val="315" w:hRule="atLeast"/>
        </w:trPr>
        <w:tc>
          <w:tcPr>
            <w:tcW w:w="4250"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IBUPROFENO </w:t>
            </w:r>
          </w:p>
        </w:tc>
        <w:tc>
          <w:tcPr>
            <w:tcW w:w="1629" w:type="dxa"/>
            <w:tcBorders>
              <w:top w:val="single" w:sz="4" w:space="0" w:color="000000"/>
              <w:left w:val="single" w:sz="4" w:space="0" w:color="000000"/>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100MG/5ML</w:t>
            </w:r>
          </w:p>
        </w:tc>
        <w:tc>
          <w:tcPr>
            <w:tcW w:w="2857"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XAROPE</w:t>
            </w:r>
          </w:p>
        </w:tc>
        <w:tc>
          <w:tcPr>
            <w:tcW w:w="78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w:t>
            </w:r>
          </w:p>
        </w:tc>
      </w:tr>
      <w:tr>
        <w:trPr>
          <w:trHeight w:val="315" w:hRule="atLeast"/>
        </w:trPr>
        <w:tc>
          <w:tcPr>
            <w:tcW w:w="4250"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IBUPROFENO </w:t>
            </w:r>
          </w:p>
        </w:tc>
        <w:tc>
          <w:tcPr>
            <w:tcW w:w="1629" w:type="dxa"/>
            <w:tcBorders>
              <w:top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200MG</w:t>
            </w:r>
          </w:p>
        </w:tc>
        <w:tc>
          <w:tcPr>
            <w:tcW w:w="2857" w:type="dxa"/>
            <w:tcBorders>
              <w:top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top w:val="single" w:sz="4" w:space="0" w:color="000000"/>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175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IBUPROFENO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400MG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295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IODOPOVIDONA A 10%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500ML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ANTISSEPTICO/DESINFECTANT</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INSULINA LENTA</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DESPOSITIVO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KETOROLAC 0,5%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KIT (EVITAL)  Nº 6.5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CIRURGICO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KIT (EVITAL)  Nº 7.0</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CIRURGICO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KIT (EVITAL)  Nº 7.5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CIRURGICO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17</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KIT (EVITAL)  Nº 8.0</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CIRURGICO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KIT DE ADAPTADOR PARA VICTROTOMO</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CIRURGICO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6</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LAGRIMAS ARTIFICIAS 0,03%</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1618</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LATANOPROST (XALATAN)</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0,05MG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835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LATANOPROST + TIMOLOL (XALACON)</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0,05MG/0,5</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9</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14</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17</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17,5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18</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18,5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19</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19,5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20</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20,5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33</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21</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21,5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22</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22,5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23</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23,5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24</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24,5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25</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FLEXIVEL Nº 26</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RIGIDA POSTERIOR Nº 20</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RIGIDA POSTERIOR Nº 21</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RIGIDA POSTERIOR Nº 22</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 RIGIDA POSTERIOR Nº 22,5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LENTES INTRAOCULAR</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LIDOCAINA 2%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LOPERAMIDA</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LORATADINA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925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LUVAS CIRURGICA Nº 6,5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1510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LUVAS CIRURGICA Nº 7</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800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LUVAS CIRURGICA Nº 7,5</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600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LUVAS CIRURGICA Nº 8</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250</w:t>
            </w:r>
          </w:p>
        </w:tc>
      </w:tr>
      <w:tr>
        <w:trPr>
          <w:trHeight w:val="315" w:hRule="atLeast"/>
        </w:trPr>
        <w:tc>
          <w:tcPr>
            <w:tcW w:w="4250"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LUVAS PROCEDIMENTO TAM L</w:t>
            </w:r>
          </w:p>
        </w:tc>
        <w:tc>
          <w:tcPr>
            <w:tcW w:w="1629" w:type="dxa"/>
            <w:tcBorders>
              <w:top w:val="single" w:sz="4" w:space="0" w:color="000000"/>
              <w:left w:val="single" w:sz="4" w:space="0" w:color="000000"/>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1500</w:t>
            </w:r>
          </w:p>
        </w:tc>
      </w:tr>
      <w:tr>
        <w:trPr>
          <w:trHeight w:val="315" w:hRule="atLeast"/>
        </w:trPr>
        <w:tc>
          <w:tcPr>
            <w:tcW w:w="4250"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LUVAS PROCEDIMENTO TAM M</w:t>
            </w:r>
          </w:p>
        </w:tc>
        <w:tc>
          <w:tcPr>
            <w:tcW w:w="1629" w:type="dxa"/>
            <w:tcBorders>
              <w:top w:val="single" w:sz="4" w:space="0" w:color="000000"/>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top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top w:val="single" w:sz="4" w:space="0" w:color="000000"/>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10600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MANGUEIRA DE AZEITE</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CIRURGICO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6</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MASCARA DESCARTAVEL P/ ADULTO</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5000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MASCARA DESCARTAVEL P/CRIANÇA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150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MASCARA LARINGEA N-1</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MASCARA LARINGEA N-1.5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MASCARA LARINGEA N-2</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MASCARA LARINGEA N-2.5</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MASCARA LARINGEA Nº 3</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MASCARA LARINGEA Nº 4</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MASCARA LARINGEA Nº 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MEOCIL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5MG /5G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POMADA OFTALMICA</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METFORMINA</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125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METRONIDAZOL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250MG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240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MIDAZOLAM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15MG/3ML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MITOMICINA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40MG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MOXIFLOXACIN 0.5%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162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MOXIFLOXACINA  0.5%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313</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MOXIFLOXACINA  0.5% + PREDNISOLONA 1%</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44</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NEOMICINA 0.5%+DEXAMETASONA 0.1%</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NEUROBION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NIFEDIPINA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360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OFLOXACINA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3MG/10ML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68</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OLOPATADINE 0.1%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306</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OMEPRAZOL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70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PARACETAMOL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40MG/85ML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XAROPE</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6</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PARACETAMOL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700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PENSO OCULAR</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CIRURGICO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890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PILOCARPINA</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PINÇA ENDOCULAR 23G SERRADA</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CIRURGICO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PREDNISOLA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6090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PREDNISOLONA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820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PREDNISOLONA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5MG/5G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POMADA OFTALMICA</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6</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PREDNISOLONA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580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PREDNISOLONA 1%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567</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PREDNISOLONA + CLORAFENICOL</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POMADA OFTALMICA</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REAGENTE DE UREIA</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REAGENTE LABORATORIO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RETRACTOR DE IRIS</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CIRURGICO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ROLO DE PAPEL DE MARQUESA</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SERINGA  10ML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CORRELATO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2100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SERINGA  20ML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CORRELATO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SERINGA  5ML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CORRELATO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3100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SERINGA 1ML C/ AGULHA FIXA</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CORRELATO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300</w:t>
            </w:r>
          </w:p>
        </w:tc>
      </w:tr>
      <w:tr>
        <w:trPr>
          <w:trHeight w:val="315" w:hRule="atLeast"/>
        </w:trPr>
        <w:tc>
          <w:tcPr>
            <w:tcW w:w="4250"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SERINGA 2ML C/AG </w:t>
            </w:r>
          </w:p>
        </w:tc>
        <w:tc>
          <w:tcPr>
            <w:tcW w:w="1629" w:type="dxa"/>
            <w:tcBorders>
              <w:top w:val="single" w:sz="4" w:space="0" w:color="000000"/>
              <w:left w:val="single" w:sz="4" w:space="0" w:color="000000"/>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CORRELATO</w:t>
            </w:r>
          </w:p>
        </w:tc>
        <w:tc>
          <w:tcPr>
            <w:tcW w:w="787"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1600</w:t>
            </w:r>
          </w:p>
        </w:tc>
      </w:tr>
      <w:tr>
        <w:trPr>
          <w:trHeight w:val="315" w:hRule="atLeast"/>
        </w:trPr>
        <w:tc>
          <w:tcPr>
            <w:tcW w:w="4250"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SEVOFLURANO </w:t>
            </w:r>
          </w:p>
        </w:tc>
        <w:tc>
          <w:tcPr>
            <w:tcW w:w="1629" w:type="dxa"/>
            <w:tcBorders>
              <w:top w:val="single" w:sz="4" w:space="0" w:color="000000"/>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250ML</w:t>
            </w:r>
          </w:p>
        </w:tc>
        <w:tc>
          <w:tcPr>
            <w:tcW w:w="2857" w:type="dxa"/>
            <w:tcBorders>
              <w:top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ANESTESICO </w:t>
            </w:r>
          </w:p>
        </w:tc>
        <w:tc>
          <w:tcPr>
            <w:tcW w:w="787" w:type="dxa"/>
            <w:tcBorders>
              <w:top w:val="single" w:sz="4" w:space="0" w:color="000000"/>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SISTEMA DE SORO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CORRELATO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250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SOCOMOL</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160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SONDA DE ASPIRAÇÃO Nº 8</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CORRELATO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SORO FISIOLOGICO</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500ML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SOROS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177</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SORO GLUCOFISIOLOGICO</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500ML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SOROS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SORO LATATO DE RINGER</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500ML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SOROS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SORO MANITOL 20%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500  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SOROS</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140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STABIMED 5L</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ANTISSEPTICO/DESINFECTANT</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TESTE DE MALARIA</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xml:space="preserve">UND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MATERIAL LABORATORIO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675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TESTE RAPIDO DE DENGUE</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M/LABORATORIO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TETRACICLINA 1%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POMADA OFTALMICA</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46</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TIMOLOL 0.5%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645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TIRAS DE GLICEMIA ACCU-CHEK</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1000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TIRAS DE GLICEMIA TRUCARE</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TOBRAMICINA 0.3%</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404</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TOBRAMICINA 0.3% + DEXAMETASONA 0.1%</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363</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TOUCA DESCARTAVEL</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2300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TRAVAPROST</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112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TRIANCINOLONA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4OMG/1ML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35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TROPICAMIDA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10MG/5ML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TROPICAMIDA 0,8% E FENILEFRINA 5%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COLIRIO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165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TUBO DE EDTA </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700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TUBO ENDOTRAQUELC/CUFFN-3</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TUBO ENDOTRAQUELC/CUFFN-4</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TUBO ENDOTRAQUELC/CUFFN-5,5</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GASTAVEL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5</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UNI-GOLD (HIV)</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LABORATORIO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VALVULA DE GLAUCOMA (AADI)</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UND</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CIRURGICO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2</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VITAMINA C</w:t>
            </w:r>
          </w:p>
        </w:tc>
        <w:tc>
          <w:tcPr>
            <w:tcW w:w="1629" w:type="dxa"/>
            <w:tcBorders>
              <w:bottom w:val="single" w:sz="4" w:space="0" w:color="000000"/>
              <w:right w:val="single" w:sz="4" w:space="0" w:color="000000"/>
            </w:tcBorders>
            <w:shd w:color="000000"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500MG</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COMPRIMIDO</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130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VITAMINE C </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5ML</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AMPOLA</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40</w:t>
            </w:r>
          </w:p>
        </w:tc>
      </w:tr>
      <w:tr>
        <w:trPr>
          <w:trHeight w:val="315" w:hRule="atLeast"/>
        </w:trPr>
        <w:tc>
          <w:tcPr>
            <w:tcW w:w="4250" w:type="dxa"/>
            <w:tcBorders>
              <w:left w:val="single" w:sz="4" w:space="0" w:color="000000"/>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WATHING SOLUTION</w:t>
            </w:r>
          </w:p>
        </w:tc>
        <w:tc>
          <w:tcPr>
            <w:tcW w:w="1629" w:type="dxa"/>
            <w:tcBorders>
              <w:bottom w:val="single" w:sz="4" w:space="0" w:color="000000"/>
              <w:right w:val="single" w:sz="4" w:space="0" w:color="000000"/>
            </w:tcBorders>
            <w:shd w:color="DDEBF7" w:fill="FFFFFF" w:val="clear"/>
            <w:vAlign w:val="center"/>
          </w:tcPr>
          <w:p>
            <w:pPr>
              <w:pStyle w:val="Normal"/>
              <w:spacing w:lineRule="auto" w:line="240" w:before="0" w:after="0"/>
              <w:rPr>
                <w:rFonts w:ascii="Calibri" w:hAnsi="Calibri" w:eastAsia="Times New Roman" w:cs="Calibri"/>
                <w:sz w:val="24"/>
                <w:szCs w:val="24"/>
              </w:rPr>
            </w:pPr>
            <w:r>
              <w:rPr>
                <w:rFonts w:eastAsia="Times New Roman" w:cs="Calibri" w:ascii="Calibri" w:hAnsi="Calibri"/>
                <w:sz w:val="24"/>
                <w:szCs w:val="24"/>
              </w:rPr>
              <w:t> </w:t>
            </w:r>
          </w:p>
        </w:tc>
        <w:tc>
          <w:tcPr>
            <w:tcW w:w="2857" w:type="dxa"/>
            <w:tcBorders>
              <w:bottom w:val="single" w:sz="4" w:space="0" w:color="000000"/>
              <w:right w:val="single" w:sz="4" w:space="0" w:color="000000"/>
            </w:tcBorders>
            <w:shd w:color="000000" w:fill="FFFFFF" w:val="clear"/>
            <w:vAlign w:val="bottom"/>
          </w:tcPr>
          <w:p>
            <w:pPr>
              <w:pStyle w:val="Normal"/>
              <w:spacing w:lineRule="auto" w:line="240" w:before="0" w:after="0"/>
              <w:rPr>
                <w:rFonts w:ascii="Calibri" w:hAnsi="Calibri" w:eastAsia="Times New Roman" w:cs="Calibri"/>
              </w:rPr>
            </w:pPr>
            <w:r>
              <w:rPr>
                <w:rFonts w:eastAsia="Times New Roman" w:cs="Calibri" w:ascii="Calibri" w:hAnsi="Calibri"/>
              </w:rPr>
              <w:t xml:space="preserve">MATERIAL LABORATORIO </w:t>
            </w:r>
          </w:p>
        </w:tc>
        <w:tc>
          <w:tcPr>
            <w:tcW w:w="787" w:type="dxa"/>
            <w:tcBorders>
              <w:bottom w:val="single" w:sz="4" w:space="0" w:color="000000"/>
              <w:right w:val="single" w:sz="4" w:space="0" w:color="000000"/>
            </w:tcBorders>
            <w:vAlign w:val="bottom"/>
          </w:tcPr>
          <w:p>
            <w:pPr>
              <w:pStyle w:val="Normal"/>
              <w:spacing w:lineRule="auto" w:line="240" w:before="0" w:after="0"/>
              <w:jc w:val="right"/>
              <w:rPr>
                <w:rFonts w:ascii="Calibri" w:hAnsi="Calibri" w:eastAsia="Times New Roman" w:cs="Calibri"/>
                <w:color w:val="000000"/>
              </w:rPr>
            </w:pPr>
            <w:r>
              <w:rPr>
                <w:rFonts w:eastAsia="Times New Roman" w:cs="Calibri" w:ascii="Calibri" w:hAnsi="Calibri"/>
                <w:color w:val="000000"/>
              </w:rPr>
              <w:t>1</w:t>
            </w:r>
          </w:p>
        </w:tc>
      </w:tr>
    </w:tbl>
    <w:p>
      <w:pPr>
        <w:pStyle w:val="Normal"/>
        <w:spacing w:lineRule="auto" w:line="259" w:before="0" w:after="0"/>
        <w:ind w:left="-567"/>
        <w:rPr/>
      </w:pPr>
      <w:r>
        <w:rPr/>
      </w:r>
    </w:p>
    <w:p>
      <w:pPr>
        <w:pStyle w:val="Normal"/>
        <w:spacing w:lineRule="auto" w:line="259" w:before="0" w:after="0"/>
        <w:ind w:left="-567"/>
        <w:rPr/>
      </w:pPr>
      <w:r>
        <w:rPr/>
      </w:r>
    </w:p>
    <w:p>
      <w:pPr>
        <w:pStyle w:val="Normal"/>
        <w:spacing w:lineRule="auto" w:line="259" w:before="0" w:after="0"/>
        <w:ind w:left="-567"/>
        <w:rPr/>
      </w:pPr>
      <w:r>
        <w:rPr/>
      </w:r>
    </w:p>
    <w:p>
      <w:pPr>
        <w:pStyle w:val="ListParagraph"/>
        <w:spacing w:lineRule="auto" w:line="259" w:before="0" w:after="0"/>
        <w:ind w:left="-567"/>
        <w:contextualSpacing/>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259" w:before="0" w:after="0"/>
        <w:ind w:left="-567"/>
        <w:rPr>
          <w:rFonts w:ascii="Times New Roman" w:hAnsi="Times New Roman" w:eastAsia="Times New Roman"/>
          <w:b/>
          <w:sz w:val="24"/>
          <w:szCs w:val="24"/>
          <w:lang w:eastAsia="pt-PT"/>
        </w:rPr>
      </w:pPr>
      <w:r>
        <w:rPr>
          <w:rFonts w:eastAsia="Times New Roman" w:ascii="Times New Roman" w:hAnsi="Times New Roman"/>
          <w:b/>
          <w:sz w:val="24"/>
          <w:szCs w:val="24"/>
          <w:lang w:eastAsia="pt-PT"/>
        </w:rPr>
      </w:r>
    </w:p>
    <w:p>
      <w:pPr>
        <w:pStyle w:val="Normal"/>
        <w:spacing w:lineRule="auto" w:line="360" w:before="0" w:after="0"/>
        <w:jc w:val="both"/>
        <w:rPr>
          <w:rFonts w:ascii="Times New Roman" w:hAnsi="Times New Roman" w:eastAsia="Times New Roman" w:cs="Times New Roman"/>
          <w:b/>
          <w:sz w:val="24"/>
          <w:szCs w:val="24"/>
          <w:lang w:eastAsia="pt-PT"/>
        </w:rPr>
      </w:pPr>
      <w:r>
        <w:rPr>
          <w:rFonts w:eastAsia="Times New Roman" w:cs="Times New Roman" w:ascii="Times New Roman" w:hAnsi="Times New Roman"/>
          <w:b/>
          <w:sz w:val="24"/>
          <w:szCs w:val="24"/>
          <w:lang w:eastAsia="pt-PT"/>
        </w:rPr>
      </w:r>
    </w:p>
    <w:sectPr>
      <w:footerReference w:type="even" r:id="rId13"/>
      <w:footerReference w:type="default" r:id="rId14"/>
      <w:footerReference w:type="first" r:id="rId15"/>
      <w:type w:val="nextPage"/>
      <w:pgSz w:w="11906" w:h="16838"/>
      <w:pgMar w:left="1701" w:right="1133" w:gutter="0" w:header="0" w:top="1135" w:footer="708" w:bottom="141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ambria">
    <w:charset w:val="01"/>
    <w:family w:val="roman"/>
    <w:pitch w:val="variable"/>
  </w:font>
  <w:font w:name="Calibri Light">
    <w:charset w:val="01"/>
    <w:family w:val="swiss"/>
    <w:pitch w:val="variable"/>
  </w:font>
  <w:font w:name="Calibri">
    <w:charset w:val="01"/>
    <w:family w:val="swiss"/>
    <w:pitch w:val="variable"/>
  </w:font>
  <w:font w:name="Tahoma">
    <w:charset w:val="01"/>
    <w:family w:val="swiss"/>
    <w:pitch w:val="variable"/>
  </w:font>
  <w:font w:name="Segoe UI">
    <w:charset w:val="01"/>
    <w:family w:val="swiss"/>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swiss"/>
    <w:pitch w:val="variable"/>
  </w:font>
  <w:font w:name="SansSerif">
    <w:altName w:val="Arial"/>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sdt>
      <w:sdtPr>
        <w:id w:val="883604528"/>
        <w:text/>
      </w:sdtPr>
      <w:sdtContent>
        <w:r>
          <w:rPr/>
        </w:r>
        <w:r>
          <w:rPr/>
          <w:fldChar w:fldCharType="begin"/>
        </w:r>
        <w:r>
          <w:rPr/>
          <w:instrText xml:space="preserve"> PAGE </w:instrText>
        </w:r>
        <w:r>
          <w:rPr/>
          <w:fldChar w:fldCharType="separate"/>
        </w:r>
        <w:r>
          <w:rPr/>
          <w:t>34</w:t>
        </w:r>
        <w:r>
          <w:rPr/>
          <w:fldChar w:fldCharType="end"/>
        </w:r>
        <w:r>
          <w:rPr/>
        </w:r>
      </w:sdtContent>
    </w:sdt>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o"/>
      <w:lvlJc w:val="left"/>
      <w:pPr>
        <w:tabs>
          <w:tab w:val="num" w:pos="0"/>
        </w:tabs>
        <w:ind w:left="153" w:hanging="360"/>
      </w:pPr>
      <w:rPr>
        <w:rFonts w:ascii="Courier New" w:hAnsi="Courier New" w:cs="Courier New" w:hint="default"/>
      </w:rPr>
    </w:lvl>
    <w:lvl w:ilvl="1">
      <w:start w:val="1"/>
      <w:numFmt w:val="bullet"/>
      <w:lvlText w:val="o"/>
      <w:lvlJc w:val="left"/>
      <w:pPr>
        <w:tabs>
          <w:tab w:val="num" w:pos="0"/>
        </w:tabs>
        <w:ind w:left="873" w:hanging="360"/>
      </w:pPr>
      <w:rPr>
        <w:rFonts w:ascii="Courier New" w:hAnsi="Courier New" w:cs="Courier New" w:hint="default"/>
      </w:rPr>
    </w:lvl>
    <w:lvl w:ilvl="2">
      <w:start w:val="1"/>
      <w:numFmt w:val="bullet"/>
      <w:lvlText w:val=""/>
      <w:lvlJc w:val="left"/>
      <w:pPr>
        <w:tabs>
          <w:tab w:val="num" w:pos="0"/>
        </w:tabs>
        <w:ind w:left="1593" w:hanging="360"/>
      </w:pPr>
      <w:rPr>
        <w:rFonts w:ascii="Wingdings" w:hAnsi="Wingdings" w:cs="Wingdings" w:hint="default"/>
      </w:rPr>
    </w:lvl>
    <w:lvl w:ilvl="3">
      <w:start w:val="1"/>
      <w:numFmt w:val="bullet"/>
      <w:lvlText w:val=""/>
      <w:lvlJc w:val="left"/>
      <w:pPr>
        <w:tabs>
          <w:tab w:val="num" w:pos="0"/>
        </w:tabs>
        <w:ind w:left="2313" w:hanging="360"/>
      </w:pPr>
      <w:rPr>
        <w:rFonts w:ascii="Symbol" w:hAnsi="Symbol" w:cs="Symbol" w:hint="default"/>
      </w:rPr>
    </w:lvl>
    <w:lvl w:ilvl="4">
      <w:start w:val="1"/>
      <w:numFmt w:val="bullet"/>
      <w:lvlText w:val="o"/>
      <w:lvlJc w:val="left"/>
      <w:pPr>
        <w:tabs>
          <w:tab w:val="num" w:pos="0"/>
        </w:tabs>
        <w:ind w:left="3033" w:hanging="360"/>
      </w:pPr>
      <w:rPr>
        <w:rFonts w:ascii="Courier New" w:hAnsi="Courier New" w:cs="Courier New" w:hint="default"/>
      </w:rPr>
    </w:lvl>
    <w:lvl w:ilvl="5">
      <w:start w:val="1"/>
      <w:numFmt w:val="bullet"/>
      <w:lvlText w:val=""/>
      <w:lvlJc w:val="left"/>
      <w:pPr>
        <w:tabs>
          <w:tab w:val="num" w:pos="0"/>
        </w:tabs>
        <w:ind w:left="3753" w:hanging="360"/>
      </w:pPr>
      <w:rPr>
        <w:rFonts w:ascii="Wingdings" w:hAnsi="Wingdings" w:cs="Wingdings" w:hint="default"/>
      </w:rPr>
    </w:lvl>
    <w:lvl w:ilvl="6">
      <w:start w:val="1"/>
      <w:numFmt w:val="bullet"/>
      <w:lvlText w:val=""/>
      <w:lvlJc w:val="left"/>
      <w:pPr>
        <w:tabs>
          <w:tab w:val="num" w:pos="0"/>
        </w:tabs>
        <w:ind w:left="4473" w:hanging="360"/>
      </w:pPr>
      <w:rPr>
        <w:rFonts w:ascii="Symbol" w:hAnsi="Symbol" w:cs="Symbol" w:hint="default"/>
      </w:rPr>
    </w:lvl>
    <w:lvl w:ilvl="7">
      <w:start w:val="1"/>
      <w:numFmt w:val="bullet"/>
      <w:lvlText w:val="o"/>
      <w:lvlJc w:val="left"/>
      <w:pPr>
        <w:tabs>
          <w:tab w:val="num" w:pos="0"/>
        </w:tabs>
        <w:ind w:left="5193" w:hanging="360"/>
      </w:pPr>
      <w:rPr>
        <w:rFonts w:ascii="Courier New" w:hAnsi="Courier New" w:cs="Courier New" w:hint="default"/>
      </w:rPr>
    </w:lvl>
    <w:lvl w:ilvl="8">
      <w:start w:val="1"/>
      <w:numFmt w:val="bullet"/>
      <w:lvlText w:val=""/>
      <w:lvlJc w:val="left"/>
      <w:pPr>
        <w:tabs>
          <w:tab w:val="num" w:pos="0"/>
        </w:tabs>
        <w:ind w:left="5913" w:hanging="360"/>
      </w:pPr>
      <w:rPr>
        <w:rFonts w:ascii="Wingdings" w:hAnsi="Wingdings" w:cs="Wingdings" w:hint="default"/>
      </w:rPr>
    </w:lvl>
  </w:abstractNum>
  <w:abstractNum w:abstractNumId="9">
    <w:lvl w:ilvl="0">
      <w:start w:val="1"/>
      <w:numFmt w:val="bullet"/>
      <w:lvlText w:val=""/>
      <w:lvlJc w:val="left"/>
      <w:pPr>
        <w:tabs>
          <w:tab w:val="num" w:pos="0"/>
        </w:tabs>
        <w:ind w:left="3447" w:hanging="360"/>
      </w:pPr>
      <w:rPr>
        <w:rFonts w:ascii="Symbol" w:hAnsi="Symbol" w:cs="Symbol" w:hint="default"/>
      </w:rPr>
    </w:lvl>
    <w:lvl w:ilvl="1">
      <w:start w:val="1"/>
      <w:numFmt w:val="bullet"/>
      <w:lvlText w:val="o"/>
      <w:lvlJc w:val="left"/>
      <w:pPr>
        <w:tabs>
          <w:tab w:val="num" w:pos="0"/>
        </w:tabs>
        <w:ind w:left="4167" w:hanging="360"/>
      </w:pPr>
      <w:rPr>
        <w:rFonts w:ascii="Courier New" w:hAnsi="Courier New" w:cs="Courier New" w:hint="default"/>
      </w:rPr>
    </w:lvl>
    <w:lvl w:ilvl="2">
      <w:start w:val="1"/>
      <w:numFmt w:val="bullet"/>
      <w:lvlText w:val=""/>
      <w:lvlJc w:val="left"/>
      <w:pPr>
        <w:tabs>
          <w:tab w:val="num" w:pos="0"/>
        </w:tabs>
        <w:ind w:left="4887" w:hanging="360"/>
      </w:pPr>
      <w:rPr>
        <w:rFonts w:ascii="Wingdings" w:hAnsi="Wingdings" w:cs="Wingdings" w:hint="default"/>
      </w:rPr>
    </w:lvl>
    <w:lvl w:ilvl="3">
      <w:start w:val="1"/>
      <w:numFmt w:val="bullet"/>
      <w:lvlText w:val=""/>
      <w:lvlJc w:val="left"/>
      <w:pPr>
        <w:tabs>
          <w:tab w:val="num" w:pos="0"/>
        </w:tabs>
        <w:ind w:left="5607" w:hanging="360"/>
      </w:pPr>
      <w:rPr>
        <w:rFonts w:ascii="Symbol" w:hAnsi="Symbol" w:cs="Symbol" w:hint="default"/>
      </w:rPr>
    </w:lvl>
    <w:lvl w:ilvl="4">
      <w:start w:val="1"/>
      <w:numFmt w:val="bullet"/>
      <w:lvlText w:val="o"/>
      <w:lvlJc w:val="left"/>
      <w:pPr>
        <w:tabs>
          <w:tab w:val="num" w:pos="0"/>
        </w:tabs>
        <w:ind w:left="6327" w:hanging="360"/>
      </w:pPr>
      <w:rPr>
        <w:rFonts w:ascii="Courier New" w:hAnsi="Courier New" w:cs="Courier New" w:hint="default"/>
      </w:rPr>
    </w:lvl>
    <w:lvl w:ilvl="5">
      <w:start w:val="1"/>
      <w:numFmt w:val="bullet"/>
      <w:lvlText w:val=""/>
      <w:lvlJc w:val="left"/>
      <w:pPr>
        <w:tabs>
          <w:tab w:val="num" w:pos="0"/>
        </w:tabs>
        <w:ind w:left="7047" w:hanging="360"/>
      </w:pPr>
      <w:rPr>
        <w:rFonts w:ascii="Wingdings" w:hAnsi="Wingdings" w:cs="Wingdings" w:hint="default"/>
      </w:rPr>
    </w:lvl>
    <w:lvl w:ilvl="6">
      <w:start w:val="1"/>
      <w:numFmt w:val="bullet"/>
      <w:lvlText w:val=""/>
      <w:lvlJc w:val="left"/>
      <w:pPr>
        <w:tabs>
          <w:tab w:val="num" w:pos="0"/>
        </w:tabs>
        <w:ind w:left="7767" w:hanging="360"/>
      </w:pPr>
      <w:rPr>
        <w:rFonts w:ascii="Symbol" w:hAnsi="Symbol" w:cs="Symbol" w:hint="default"/>
      </w:rPr>
    </w:lvl>
    <w:lvl w:ilvl="7">
      <w:start w:val="1"/>
      <w:numFmt w:val="bullet"/>
      <w:lvlText w:val="o"/>
      <w:lvlJc w:val="left"/>
      <w:pPr>
        <w:tabs>
          <w:tab w:val="num" w:pos="0"/>
        </w:tabs>
        <w:ind w:left="8487" w:hanging="360"/>
      </w:pPr>
      <w:rPr>
        <w:rFonts w:ascii="Courier New" w:hAnsi="Courier New" w:cs="Courier New" w:hint="default"/>
      </w:rPr>
    </w:lvl>
    <w:lvl w:ilvl="8">
      <w:start w:val="1"/>
      <w:numFmt w:val="bullet"/>
      <w:lvlText w:val=""/>
      <w:lvlJc w:val="left"/>
      <w:pPr>
        <w:tabs>
          <w:tab w:val="num" w:pos="0"/>
        </w:tabs>
        <w:ind w:left="9207"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08"/>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PT" w:eastAsia="pt-PT"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eastAsia="en-US" w:val="pt-PT" w:bidi="ar-SA"/>
    </w:rPr>
  </w:style>
  <w:style w:type="paragraph" w:styleId="Heading1">
    <w:name w:val="heading 1"/>
    <w:basedOn w:val="Normal"/>
    <w:next w:val="Normal"/>
    <w:link w:val="Ttulo1Char"/>
    <w:uiPriority w:val="9"/>
    <w:qFormat/>
    <w:pPr>
      <w:keepNext w:val="true"/>
      <w:keepLines/>
      <w:spacing w:before="480" w:after="0"/>
      <w:outlineLvl w:val="0"/>
    </w:pPr>
    <w:rPr>
      <w:rFonts w:ascii="Cambria" w:hAnsi="Cambria" w:eastAsia="宋体"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har"/>
    <w:uiPriority w:val="9"/>
    <w:unhideWhenUsed/>
    <w:qFormat/>
    <w:pPr>
      <w:keepNext w:val="true"/>
      <w:keepLines/>
      <w:spacing w:lineRule="auto" w:line="240" w:before="40" w:after="0"/>
      <w:outlineLvl w:val="1"/>
    </w:pPr>
    <w:rPr>
      <w:rFonts w:ascii="Cambria" w:hAnsi="Cambria" w:eastAsia="宋体" w:cs=""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Ttulo3Char"/>
    <w:uiPriority w:val="9"/>
    <w:unhideWhenUsed/>
    <w:qFormat/>
    <w:pPr>
      <w:keepNext w:val="true"/>
      <w:keepLines/>
      <w:spacing w:before="200" w:after="0"/>
      <w:outlineLvl w:val="2"/>
    </w:pPr>
    <w:rPr>
      <w:rFonts w:ascii="Calibri Light" w:hAnsi="Calibri Light" w:eastAsia="Times New Roman" w:cs="Times New Roman"/>
      <w:b/>
      <w:bCs/>
      <w:color w:val="5B9BD5"/>
    </w:rPr>
  </w:style>
  <w:style w:type="paragraph" w:styleId="Heading4">
    <w:name w:val="heading 4"/>
    <w:basedOn w:val="Normal"/>
    <w:next w:val="Normal"/>
    <w:link w:val="Ttulo4Char"/>
    <w:uiPriority w:val="9"/>
    <w:unhideWhenUsed/>
    <w:qFormat/>
    <w:pPr>
      <w:keepNext w:val="true"/>
      <w:keepLines/>
      <w:spacing w:lineRule="auto" w:line="259" w:before="40" w:after="0"/>
      <w:outlineLvl w:val="3"/>
    </w:pPr>
    <w:rPr>
      <w:rFonts w:ascii="Cambria" w:hAnsi="Cambria" w:eastAsia="宋体" w:cs="" w:asciiTheme="majorHAnsi" w:cstheme="majorBidi" w:eastAsiaTheme="majorEastAsia" w:hAnsiTheme="majorHAnsi"/>
      <w:color w:themeColor="accent1" w:themeShade="bf" w:val="365F91"/>
      <w:sz w:val="24"/>
      <w:szCs w:val="24"/>
    </w:rPr>
  </w:style>
  <w:style w:type="paragraph" w:styleId="Heading5">
    <w:name w:val="heading 5"/>
    <w:basedOn w:val="Normal"/>
    <w:next w:val="Normal"/>
    <w:link w:val="Ttulo5Char"/>
    <w:uiPriority w:val="9"/>
    <w:semiHidden/>
    <w:unhideWhenUsed/>
    <w:qFormat/>
    <w:pPr>
      <w:keepNext w:val="true"/>
      <w:keepLines/>
      <w:spacing w:lineRule="auto" w:line="259" w:before="40" w:after="0"/>
      <w:outlineLvl w:val="4"/>
    </w:pPr>
    <w:rPr>
      <w:rFonts w:ascii="Cambria" w:hAnsi="Cambria" w:eastAsia="宋体" w:cs="" w:asciiTheme="majorHAnsi" w:cstheme="majorBidi" w:eastAsiaTheme="majorEastAsia" w:hAnsiTheme="majorHAnsi"/>
      <w:caps/>
      <w:color w:themeColor="accent1" w:themeShade="bf" w:val="365F91"/>
    </w:rPr>
  </w:style>
  <w:style w:type="paragraph" w:styleId="Heading6">
    <w:name w:val="heading 6"/>
    <w:basedOn w:val="Normal"/>
    <w:next w:val="Normal"/>
    <w:link w:val="Ttulo6Char"/>
    <w:uiPriority w:val="9"/>
    <w:semiHidden/>
    <w:unhideWhenUsed/>
    <w:qFormat/>
    <w:pPr>
      <w:keepNext w:val="true"/>
      <w:keepLines/>
      <w:spacing w:lineRule="auto" w:line="259" w:before="40" w:after="0"/>
      <w:outlineLvl w:val="5"/>
    </w:pPr>
    <w:rPr>
      <w:rFonts w:ascii="Cambria" w:hAnsi="Cambria" w:eastAsia="宋体" w:cs="" w:asciiTheme="majorHAnsi" w:cstheme="majorBidi" w:eastAsiaTheme="majorEastAsia" w:hAnsiTheme="majorHAnsi"/>
      <w:i/>
      <w:iCs/>
      <w:caps/>
      <w:color w:themeColor="accent1" w:themeShade="80" w:val="244061"/>
    </w:rPr>
  </w:style>
  <w:style w:type="paragraph" w:styleId="Heading7">
    <w:name w:val="heading 7"/>
    <w:basedOn w:val="Normal"/>
    <w:next w:val="Normal"/>
    <w:link w:val="Ttulo7Char"/>
    <w:uiPriority w:val="9"/>
    <w:semiHidden/>
    <w:unhideWhenUsed/>
    <w:qFormat/>
    <w:pPr>
      <w:keepNext w:val="true"/>
      <w:keepLines/>
      <w:spacing w:lineRule="auto" w:line="259" w:before="40" w:after="0"/>
      <w:outlineLvl w:val="6"/>
    </w:pPr>
    <w:rPr>
      <w:rFonts w:ascii="Cambria" w:hAnsi="Cambria" w:eastAsia="宋体" w:cs="" w:asciiTheme="majorHAnsi" w:cstheme="majorBidi" w:eastAsiaTheme="majorEastAsia" w:hAnsiTheme="majorHAnsi"/>
      <w:b/>
      <w:bCs/>
      <w:color w:themeColor="accent1" w:themeShade="80" w:val="244061"/>
    </w:rPr>
  </w:style>
  <w:style w:type="paragraph" w:styleId="Heading8">
    <w:name w:val="heading 8"/>
    <w:basedOn w:val="Normal"/>
    <w:next w:val="Normal"/>
    <w:link w:val="Ttulo8Char"/>
    <w:uiPriority w:val="9"/>
    <w:semiHidden/>
    <w:unhideWhenUsed/>
    <w:qFormat/>
    <w:pPr>
      <w:keepNext w:val="true"/>
      <w:keepLines/>
      <w:spacing w:before="200" w:after="0"/>
      <w:outlineLvl w:val="7"/>
    </w:pPr>
    <w:rPr>
      <w:rFonts w:ascii="Calibri Light" w:hAnsi="Calibri Light" w:eastAsia="Times New Roman" w:cs="Times New Roman"/>
      <w:color w:val="404040"/>
      <w:sz w:val="20"/>
      <w:szCs w:val="20"/>
    </w:rPr>
  </w:style>
  <w:style w:type="paragraph" w:styleId="Heading9">
    <w:name w:val="heading 9"/>
    <w:basedOn w:val="Normal"/>
    <w:next w:val="Normal"/>
    <w:link w:val="Ttulo9Char"/>
    <w:uiPriority w:val="9"/>
    <w:semiHidden/>
    <w:unhideWhenUsed/>
    <w:qFormat/>
    <w:pPr>
      <w:keepNext w:val="true"/>
      <w:keepLines/>
      <w:spacing w:lineRule="auto" w:line="259" w:before="40" w:after="0"/>
      <w:outlineLvl w:val="8"/>
    </w:pPr>
    <w:rPr>
      <w:rFonts w:ascii="Cambria" w:hAnsi="Cambria" w:eastAsia="宋体" w:cs="" w:asciiTheme="majorHAnsi" w:cstheme="majorBidi" w:eastAsiaTheme="majorEastAsia" w:hAnsiTheme="majorHAnsi"/>
      <w:i/>
      <w:iCs/>
      <w:color w:themeColor="accent1" w:themeShade="80" w:val="244061"/>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u w:val="single"/>
    </w:rPr>
  </w:style>
  <w:style w:type="character" w:styleId="CommentReference">
    <w:name w:val="annotation reference"/>
    <w:basedOn w:val="DefaultParagraphFont"/>
    <w:uiPriority w:val="99"/>
    <w:semiHidden/>
    <w:unhideWhenUsed/>
    <w:qFormat/>
    <w:rPr>
      <w:sz w:val="16"/>
      <w:szCs w:val="16"/>
    </w:rPr>
  </w:style>
  <w:style w:type="character" w:styleId="Strong">
    <w:name w:val="Strong"/>
    <w:basedOn w:val="DefaultParagraphFont"/>
    <w:uiPriority w:val="22"/>
    <w:qFormat/>
    <w:rPr>
      <w:b/>
      <w:bCs/>
    </w:rPr>
  </w:style>
  <w:style w:type="character" w:styleId="LineNumber">
    <w:name w:val="line number"/>
    <w:basedOn w:val="DefaultParagraphFont"/>
    <w:uiPriority w:val="99"/>
    <w:semiHidden/>
    <w:unhideWhenUsed/>
    <w:qFormat/>
    <w:rPr/>
  </w:style>
  <w:style w:type="character" w:styleId="FollowedHyperlink">
    <w:name w:val="FollowedHyperlink"/>
    <w:basedOn w:val="DefaultParagraphFont"/>
    <w:uiPriority w:val="99"/>
    <w:semiHidden/>
    <w:unhideWhenUsed/>
    <w:qFormat/>
    <w:rPr>
      <w:color w:val="954F72"/>
      <w:u w:val="single"/>
    </w:rPr>
  </w:style>
  <w:style w:type="character" w:styleId="CabealhoChar" w:customStyle="1">
    <w:name w:val="Cabeçalho Char"/>
    <w:basedOn w:val="DefaultParagraphFont"/>
    <w:link w:val="Header"/>
    <w:uiPriority w:val="99"/>
    <w:qFormat/>
    <w:rPr/>
  </w:style>
  <w:style w:type="character" w:styleId="RodapChar" w:customStyle="1">
    <w:name w:val="Rodapé Char"/>
    <w:basedOn w:val="DefaultParagraphFont"/>
    <w:link w:val="Footer"/>
    <w:uiPriority w:val="99"/>
    <w:qFormat/>
    <w:rPr/>
  </w:style>
  <w:style w:type="character" w:styleId="Cabealho1Carcter" w:customStyle="1">
    <w:name w:val="Cabeçalho 1 Carácter"/>
    <w:basedOn w:val="DefaultParagraphFont"/>
    <w:link w:val="Cabealho11"/>
    <w:uiPriority w:val="9"/>
    <w:qFormat/>
    <w:rPr>
      <w:rFonts w:ascii="Calibri Light" w:hAnsi="Calibri Light" w:eastAsia="Times New Roman" w:cs="Times New Roman"/>
      <w:color w:val="2E74B5"/>
      <w:sz w:val="32"/>
      <w:szCs w:val="32"/>
    </w:rPr>
  </w:style>
  <w:style w:type="character" w:styleId="Ttulo3Char" w:customStyle="1">
    <w:name w:val="Título 3 Char"/>
    <w:basedOn w:val="DefaultParagraphFont"/>
    <w:link w:val="Heading3"/>
    <w:uiPriority w:val="9"/>
    <w:qFormat/>
    <w:rPr>
      <w:rFonts w:ascii="Calibri Light" w:hAnsi="Calibri Light" w:eastAsia="Times New Roman" w:cs="Times New Roman"/>
      <w:b/>
      <w:bCs/>
      <w:color w:val="5B9BD5"/>
    </w:rPr>
  </w:style>
  <w:style w:type="character" w:styleId="Ttulo8Char" w:customStyle="1">
    <w:name w:val="Título 8 Char"/>
    <w:basedOn w:val="DefaultParagraphFont"/>
    <w:link w:val="Heading8"/>
    <w:uiPriority w:val="9"/>
    <w:semiHidden/>
    <w:qFormat/>
    <w:rPr>
      <w:rFonts w:ascii="Calibri Light" w:hAnsi="Calibri Light" w:eastAsia="Times New Roman" w:cs="Times New Roman"/>
      <w:color w:val="404040"/>
      <w:sz w:val="20"/>
      <w:szCs w:val="20"/>
    </w:rPr>
  </w:style>
  <w:style w:type="character" w:styleId="Ttulo1Char" w:customStyle="1">
    <w:name w:val="Título 1 Char"/>
    <w:basedOn w:val="DefaultParagraphFont"/>
    <w:link w:val="Heading1"/>
    <w:uiPriority w:val="9"/>
    <w:qFormat/>
    <w:rPr>
      <w:rFonts w:ascii="Cambria" w:hAnsi="Cambria" w:eastAsia="宋体" w:cs="" w:asciiTheme="majorHAnsi" w:cstheme="majorBidi" w:eastAsiaTheme="majorEastAsia" w:hAnsiTheme="majorHAnsi"/>
      <w:b/>
      <w:bCs/>
      <w:color w:themeColor="accent1" w:themeShade="bf" w:val="365F91"/>
      <w:sz w:val="28"/>
      <w:szCs w:val="28"/>
    </w:rPr>
  </w:style>
  <w:style w:type="character" w:styleId="PargrafodaListaChar" w:customStyle="1">
    <w:name w:val="Parágrafo da Lista Char"/>
    <w:link w:val="ListParagraph"/>
    <w:uiPriority w:val="34"/>
    <w:qFormat/>
    <w:rPr>
      <w:rFonts w:ascii="Calibri" w:hAnsi="Calibri" w:eastAsia="Calibri" w:cs="Times New Roman"/>
    </w:rPr>
  </w:style>
  <w:style w:type="character" w:styleId="TextodebaloChar" w:customStyle="1">
    <w:name w:val="Texto de balão Char"/>
    <w:basedOn w:val="DefaultParagraphFont"/>
    <w:link w:val="BalloonText"/>
    <w:uiPriority w:val="99"/>
    <w:semiHidden/>
    <w:qFormat/>
    <w:rPr>
      <w:rFonts w:ascii="Tahoma" w:hAnsi="Tahoma" w:cs="Tahoma"/>
      <w:sz w:val="16"/>
      <w:szCs w:val="16"/>
      <w:lang w:val="pt-BR"/>
    </w:rPr>
  </w:style>
  <w:style w:type="character" w:styleId="root-131" w:customStyle="1">
    <w:name w:val="root-131"/>
    <w:basedOn w:val="DefaultParagraphFont"/>
    <w:qFormat/>
    <w:rPr/>
  </w:style>
  <w:style w:type="character" w:styleId="SubttuloChar" w:customStyle="1">
    <w:name w:val="Subtítulo Char"/>
    <w:basedOn w:val="DefaultParagraphFont"/>
    <w:link w:val="Subtitle"/>
    <w:uiPriority w:val="11"/>
    <w:qFormat/>
    <w:rPr>
      <w:rFonts w:ascii="Calibri Light" w:hAnsi="Calibri Light" w:eastAsia="Times New Roman" w:cs="Times New Roman"/>
      <w:i/>
      <w:iCs/>
      <w:color w:val="5B9BD5"/>
      <w:spacing w:val="15"/>
      <w:sz w:val="24"/>
      <w:szCs w:val="24"/>
    </w:rPr>
  </w:style>
  <w:style w:type="character" w:styleId="TtuloChar" w:customStyle="1">
    <w:name w:val="Título Char"/>
    <w:basedOn w:val="DefaultParagraphFont"/>
    <w:link w:val="Title"/>
    <w:uiPriority w:val="10"/>
    <w:qFormat/>
    <w:rPr>
      <w:rFonts w:ascii="Calibri Light" w:hAnsi="Calibri Light" w:eastAsia="Times New Roman" w:cs="Times New Roman"/>
      <w:color w:val="323E4F"/>
      <w:spacing w:val="5"/>
      <w:kern w:val="2"/>
      <w:sz w:val="52"/>
      <w:szCs w:val="52"/>
      <w:lang w:val="pt-PT" w:eastAsia="pt-PT" w:bidi="as-IN"/>
    </w:rPr>
  </w:style>
  <w:style w:type="character" w:styleId="nfaseIntenso1" w:customStyle="1">
    <w:name w:val="Ênfase Intenso1"/>
    <w:basedOn w:val="DefaultParagraphFont"/>
    <w:uiPriority w:val="21"/>
    <w:qFormat/>
    <w:rPr>
      <w:b/>
      <w:bCs/>
      <w:i/>
      <w:iCs/>
      <w:color w:val="5B9BD5"/>
    </w:rPr>
  </w:style>
  <w:style w:type="character" w:styleId="Cabealho3Carcter1" w:customStyle="1">
    <w:name w:val="Cabeçalho 3 Carácter1"/>
    <w:basedOn w:val="DefaultParagraphFont"/>
    <w:uiPriority w:val="9"/>
    <w:semiHidden/>
    <w:qFormat/>
    <w:rPr>
      <w:rFonts w:ascii="Cambria" w:hAnsi="Cambria" w:eastAsia="宋体" w:cs="" w:asciiTheme="majorHAnsi" w:cstheme="majorBidi" w:eastAsiaTheme="majorEastAsia" w:hAnsiTheme="majorHAnsi"/>
      <w:b/>
      <w:bCs/>
      <w:color w:themeColor="accent1" w:val="4F81BD"/>
    </w:rPr>
  </w:style>
  <w:style w:type="character" w:styleId="Cabealho8Carcter1" w:customStyle="1">
    <w:name w:val="Cabeçalho 8 Carácter1"/>
    <w:basedOn w:val="DefaultParagraphFont"/>
    <w:uiPriority w:val="9"/>
    <w:semiHidden/>
    <w:qFormat/>
    <w:rPr>
      <w:rFonts w:ascii="Cambria" w:hAnsi="Cambria" w:eastAsia="宋体" w:cs="" w:asciiTheme="majorHAnsi" w:cstheme="majorBidi" w:eastAsiaTheme="majorEastAsia" w:hAnsiTheme="majorHAnsi"/>
      <w:color w:themeColor="text1" w:themeTint="bf" w:val="404040"/>
      <w:sz w:val="20"/>
      <w:szCs w:val="20"/>
    </w:rPr>
  </w:style>
  <w:style w:type="character" w:styleId="SubttuloCarcter1" w:customStyle="1">
    <w:name w:val="Subtítulo Carácter1"/>
    <w:basedOn w:val="DefaultParagraphFont"/>
    <w:uiPriority w:val="11"/>
    <w:qFormat/>
    <w:rPr>
      <w:rFonts w:ascii="Cambria" w:hAnsi="Cambria" w:eastAsia="宋体" w:cs="" w:asciiTheme="majorHAnsi" w:cstheme="majorBidi" w:eastAsiaTheme="majorEastAsia" w:hAnsiTheme="majorHAnsi"/>
      <w:i/>
      <w:iCs/>
      <w:color w:themeColor="accent1" w:val="4F81BD"/>
      <w:spacing w:val="15"/>
      <w:sz w:val="24"/>
      <w:szCs w:val="24"/>
    </w:rPr>
  </w:style>
  <w:style w:type="character" w:styleId="TtuloCarcter1" w:customStyle="1">
    <w:name w:val="Título Carácter1"/>
    <w:basedOn w:val="DefaultParagraphFont"/>
    <w:uiPriority w:val="10"/>
    <w:qFormat/>
    <w:rPr>
      <w:rFonts w:ascii="Cambria" w:hAnsi="Cambria" w:eastAsia="宋体" w:cs="" w:asciiTheme="majorHAnsi" w:cstheme="majorBidi" w:eastAsiaTheme="majorEastAsia" w:hAnsiTheme="majorHAnsi"/>
      <w:color w:themeColor="text2" w:themeShade="bf" w:val="17365D"/>
      <w:spacing w:val="5"/>
      <w:kern w:val="2"/>
      <w:sz w:val="52"/>
      <w:szCs w:val="52"/>
    </w:rPr>
  </w:style>
  <w:style w:type="character" w:styleId="nfaseIntenso2" w:customStyle="1">
    <w:name w:val="Ênfase Intenso2"/>
    <w:basedOn w:val="DefaultParagraphFont"/>
    <w:uiPriority w:val="21"/>
    <w:qFormat/>
    <w:rPr>
      <w:b/>
      <w:bCs/>
      <w:i/>
      <w:iCs/>
      <w:color w:themeColor="accent1" w:val="4F81BD"/>
    </w:rPr>
  </w:style>
  <w:style w:type="character" w:styleId="Ttulo2Char" w:customStyle="1">
    <w:name w:val="Título 2 Char"/>
    <w:basedOn w:val="DefaultParagraphFont"/>
    <w:link w:val="Heading2"/>
    <w:uiPriority w:val="9"/>
    <w:qFormat/>
    <w:rPr>
      <w:rFonts w:ascii="Cambria" w:hAnsi="Cambria" w:eastAsia="宋体" w:cs="" w:asciiTheme="majorHAnsi" w:cstheme="majorBidi" w:eastAsiaTheme="majorEastAsia" w:hAnsiTheme="majorHAnsi"/>
      <w:color w:themeColor="accent1" w:themeShade="bf" w:val="365F91"/>
      <w:sz w:val="32"/>
      <w:szCs w:val="32"/>
    </w:rPr>
  </w:style>
  <w:style w:type="character" w:styleId="Ttulo4Char" w:customStyle="1">
    <w:name w:val="Título 4 Char"/>
    <w:basedOn w:val="DefaultParagraphFont"/>
    <w:link w:val="Heading4"/>
    <w:uiPriority w:val="9"/>
    <w:qFormat/>
    <w:rPr>
      <w:rFonts w:ascii="Cambria" w:hAnsi="Cambria" w:eastAsia="宋体" w:cs="" w:asciiTheme="majorHAnsi" w:cstheme="majorBidi" w:eastAsiaTheme="majorEastAsia" w:hAnsiTheme="majorHAnsi"/>
      <w:color w:themeColor="accent1" w:themeShade="bf" w:val="365F91"/>
      <w:sz w:val="24"/>
      <w:szCs w:val="24"/>
    </w:rPr>
  </w:style>
  <w:style w:type="character" w:styleId="Ttulo5Char" w:customStyle="1">
    <w:name w:val="Título 5 Char"/>
    <w:basedOn w:val="DefaultParagraphFont"/>
    <w:link w:val="Heading5"/>
    <w:uiPriority w:val="9"/>
    <w:semiHidden/>
    <w:qFormat/>
    <w:rPr>
      <w:rFonts w:ascii="Cambria" w:hAnsi="Cambria" w:eastAsia="宋体" w:cs="" w:asciiTheme="majorHAnsi" w:cstheme="majorBidi" w:eastAsiaTheme="majorEastAsia" w:hAnsiTheme="majorHAnsi"/>
      <w:caps/>
      <w:color w:themeColor="accent1" w:themeShade="bf" w:val="365F91"/>
    </w:rPr>
  </w:style>
  <w:style w:type="character" w:styleId="Ttulo6Char" w:customStyle="1">
    <w:name w:val="Título 6 Char"/>
    <w:basedOn w:val="DefaultParagraphFont"/>
    <w:link w:val="Heading6"/>
    <w:uiPriority w:val="9"/>
    <w:semiHidden/>
    <w:qFormat/>
    <w:rPr>
      <w:rFonts w:ascii="Cambria" w:hAnsi="Cambria" w:eastAsia="宋体" w:cs="" w:asciiTheme="majorHAnsi" w:cstheme="majorBidi" w:eastAsiaTheme="majorEastAsia" w:hAnsiTheme="majorHAnsi"/>
      <w:i/>
      <w:iCs/>
      <w:caps/>
      <w:color w:themeColor="accent1" w:themeShade="80" w:val="244061"/>
    </w:rPr>
  </w:style>
  <w:style w:type="character" w:styleId="Ttulo7Char" w:customStyle="1">
    <w:name w:val="Título 7 Char"/>
    <w:basedOn w:val="DefaultParagraphFont"/>
    <w:link w:val="Heading7"/>
    <w:uiPriority w:val="9"/>
    <w:semiHidden/>
    <w:qFormat/>
    <w:rPr>
      <w:rFonts w:ascii="Cambria" w:hAnsi="Cambria" w:eastAsia="宋体" w:cs="" w:asciiTheme="majorHAnsi" w:cstheme="majorBidi" w:eastAsiaTheme="majorEastAsia" w:hAnsiTheme="majorHAnsi"/>
      <w:b/>
      <w:bCs/>
      <w:color w:themeColor="accent1" w:themeShade="80" w:val="244061"/>
    </w:rPr>
  </w:style>
  <w:style w:type="character" w:styleId="Ttulo9Char" w:customStyle="1">
    <w:name w:val="Título 9 Char"/>
    <w:basedOn w:val="DefaultParagraphFont"/>
    <w:link w:val="Heading9"/>
    <w:uiPriority w:val="9"/>
    <w:semiHidden/>
    <w:qFormat/>
    <w:rPr>
      <w:rFonts w:ascii="Cambria" w:hAnsi="Cambria" w:eastAsia="宋体" w:cs="" w:asciiTheme="majorHAnsi" w:cstheme="majorBidi" w:eastAsiaTheme="majorEastAsia" w:hAnsiTheme="majorHAnsi"/>
      <w:i/>
      <w:iCs/>
      <w:color w:themeColor="accent1" w:themeShade="80" w:val="244061"/>
    </w:rPr>
  </w:style>
  <w:style w:type="character" w:styleId="CitaoChar" w:customStyle="1">
    <w:name w:val="Citação Char"/>
    <w:basedOn w:val="DefaultParagraphFont"/>
    <w:link w:val="Quote"/>
    <w:uiPriority w:val="29"/>
    <w:qFormat/>
    <w:rPr>
      <w:rFonts w:eastAsia="宋体" w:eastAsiaTheme="minorEastAsia"/>
      <w:color w:themeColor="text2" w:val="1F497D"/>
      <w:sz w:val="24"/>
      <w:szCs w:val="24"/>
    </w:rPr>
  </w:style>
  <w:style w:type="character" w:styleId="CitaoIntensaChar" w:customStyle="1">
    <w:name w:val="Citação Intensa Char"/>
    <w:basedOn w:val="DefaultParagraphFont"/>
    <w:link w:val="IntenseQuote"/>
    <w:uiPriority w:val="30"/>
    <w:qFormat/>
    <w:rPr>
      <w:rFonts w:ascii="Cambria" w:hAnsi="Cambria" w:eastAsia="宋体" w:cs="" w:asciiTheme="majorHAnsi" w:cstheme="majorBidi" w:eastAsiaTheme="majorEastAsia" w:hAnsiTheme="majorHAnsi"/>
      <w:color w:themeColor="text2" w:val="1F497D"/>
      <w:spacing w:val="-6"/>
      <w:sz w:val="32"/>
      <w:szCs w:val="32"/>
    </w:rPr>
  </w:style>
  <w:style w:type="character" w:styleId="nfaseDiscreto1" w:customStyle="1">
    <w:name w:val="Ênfase Discreto1"/>
    <w:basedOn w:val="DefaultParagraphFont"/>
    <w:uiPriority w:val="19"/>
    <w:qFormat/>
    <w:rPr>
      <w:i/>
      <w:iCs/>
      <w:color w:themeColor="text1" w:themeTint="a6" w:val="595959"/>
    </w:rPr>
  </w:style>
  <w:style w:type="character" w:styleId="RefernciaDiscreta1" w:customStyle="1">
    <w:name w:val="Referência Discreta1"/>
    <w:basedOn w:val="DefaultParagraphFont"/>
    <w:uiPriority w:val="31"/>
    <w:qFormat/>
    <w:rPr>
      <w:smallCaps/>
      <w:color w:themeColor="text1" w:themeTint="a6" w:val="595959"/>
      <w:u w:val="none" w:color="7F7F7F" w:themeColor="dark1" w:themeTint="80"/>
    </w:rPr>
  </w:style>
  <w:style w:type="character" w:styleId="RefernciaIntensa1" w:customStyle="1">
    <w:name w:val="Referência Intensa1"/>
    <w:basedOn w:val="DefaultParagraphFont"/>
    <w:uiPriority w:val="32"/>
    <w:qFormat/>
    <w:rPr>
      <w:b/>
      <w:bCs/>
      <w:smallCaps/>
      <w:color w:themeColor="text2" w:val="1F497D"/>
      <w:u w:val="single"/>
    </w:rPr>
  </w:style>
  <w:style w:type="character" w:styleId="TtulodoLivro1" w:customStyle="1">
    <w:name w:val="Título do Livro1"/>
    <w:basedOn w:val="DefaultParagraphFont"/>
    <w:uiPriority w:val="33"/>
    <w:qFormat/>
    <w:rPr>
      <w:b/>
      <w:bCs/>
      <w:smallCaps/>
      <w:spacing w:val="10"/>
    </w:rPr>
  </w:style>
  <w:style w:type="character" w:styleId="PargrafodaListaCarcter" w:customStyle="1">
    <w:name w:val="Parágrafo da Lista Carácter"/>
    <w:uiPriority w:val="34"/>
    <w:qFormat/>
    <w:rPr/>
  </w:style>
  <w:style w:type="character" w:styleId="TextodecomentrioChar" w:customStyle="1">
    <w:name w:val="Texto de comentário Char"/>
    <w:basedOn w:val="DefaultParagraphFont"/>
    <w:link w:val="CommentText"/>
    <w:uiPriority w:val="99"/>
    <w:semiHidden/>
    <w:qFormat/>
    <w:rPr>
      <w:rFonts w:ascii="Times New Roman" w:hAnsi="Times New Roman" w:eastAsia="Times New Roman" w:cs="Times New Roman"/>
      <w:sz w:val="20"/>
      <w:szCs w:val="20"/>
      <w:lang w:eastAsia="pt-PT"/>
    </w:rPr>
  </w:style>
  <w:style w:type="character" w:styleId="AssuntodocomentrioChar" w:customStyle="1">
    <w:name w:val="Assunto do comentário Char"/>
    <w:basedOn w:val="TextodecomentrioChar"/>
    <w:link w:val="annotationsubject"/>
    <w:uiPriority w:val="99"/>
    <w:semiHidden/>
    <w:qFormat/>
    <w:rPr>
      <w:rFonts w:ascii="Times New Roman" w:hAnsi="Times New Roman" w:eastAsia="Times New Roman" w:cs="Times New Roman"/>
      <w:b/>
      <w:bCs/>
      <w:sz w:val="20"/>
      <w:szCs w:val="20"/>
      <w:lang w:eastAsia="pt-PT"/>
    </w:rPr>
  </w:style>
  <w:style w:type="character" w:styleId="nfaseDiscreto11" w:customStyle="1">
    <w:name w:val="Ênfase Discreto11"/>
    <w:basedOn w:val="DefaultParagraphFont"/>
    <w:uiPriority w:val="19"/>
    <w:qFormat/>
    <w:rPr>
      <w:i/>
      <w:iCs/>
      <w:color w:val="595959"/>
    </w:rPr>
  </w:style>
  <w:style w:type="character" w:styleId="RefernciaDiscreta11" w:customStyle="1">
    <w:name w:val="Referência Discreta11"/>
    <w:basedOn w:val="DefaultParagraphFont"/>
    <w:uiPriority w:val="31"/>
    <w:qFormat/>
    <w:rPr>
      <w:smallCaps/>
      <w:color w:val="595959"/>
      <w:u w:val="none" w:color="7F7F7F"/>
    </w:rPr>
  </w:style>
  <w:style w:type="character" w:styleId="RefernciaIntensa11" w:customStyle="1">
    <w:name w:val="Referência Intensa11"/>
    <w:basedOn w:val="DefaultParagraphFont"/>
    <w:uiPriority w:val="32"/>
    <w:qFormat/>
    <w:rPr>
      <w:b/>
      <w:bCs/>
      <w:smallCaps/>
      <w:color w:val="44546A"/>
      <w:u w:val="single"/>
    </w:rPr>
  </w:style>
  <w:style w:type="character" w:styleId="Cabealho1Carter1" w:customStyle="1">
    <w:name w:val="Cabeçalho 1 Caráter1"/>
    <w:basedOn w:val="DefaultParagraphFont"/>
    <w:uiPriority w:val="9"/>
    <w:qFormat/>
    <w:rPr>
      <w:rFonts w:ascii="Cambria" w:hAnsi="Cambria" w:eastAsia="宋体" w:cs="" w:asciiTheme="majorHAnsi" w:cstheme="majorBidi" w:eastAsiaTheme="majorEastAsia" w:hAnsiTheme="majorHAnsi"/>
      <w:color w:themeColor="accent1" w:themeShade="bf" w:val="365F91"/>
      <w:sz w:val="32"/>
      <w:szCs w:val="32"/>
    </w:rPr>
  </w:style>
  <w:style w:type="character" w:styleId="Cabealho2Carter1" w:customStyle="1">
    <w:name w:val="Cabeçalho 2 Caráter1"/>
    <w:basedOn w:val="DefaultParagraphFont"/>
    <w:uiPriority w:val="9"/>
    <w:semiHidden/>
    <w:qFormat/>
    <w:rPr>
      <w:rFonts w:ascii="Cambria" w:hAnsi="Cambria" w:eastAsia="宋体" w:cs="" w:asciiTheme="majorHAnsi" w:cstheme="majorBidi" w:eastAsiaTheme="majorEastAsia" w:hAnsiTheme="majorHAnsi"/>
      <w:color w:themeColor="accent1" w:themeShade="bf" w:val="365F91"/>
      <w:sz w:val="26"/>
      <w:szCs w:val="26"/>
    </w:rPr>
  </w:style>
  <w:style w:type="character" w:styleId="Cabealho3Carter1" w:customStyle="1">
    <w:name w:val="Cabeçalho 3 Caráter1"/>
    <w:basedOn w:val="DefaultParagraphFont"/>
    <w:uiPriority w:val="9"/>
    <w:semiHidden/>
    <w:qFormat/>
    <w:rPr>
      <w:rFonts w:ascii="Cambria" w:hAnsi="Cambria" w:eastAsia="宋体" w:cs="" w:asciiTheme="majorHAnsi" w:cstheme="majorBidi" w:eastAsiaTheme="majorEastAsia" w:hAnsiTheme="majorHAnsi"/>
      <w:color w:themeColor="accent1" w:themeShade="80" w:val="244061"/>
      <w:sz w:val="24"/>
      <w:szCs w:val="24"/>
    </w:rPr>
  </w:style>
  <w:style w:type="character" w:styleId="Cabealho4Carter1" w:customStyle="1">
    <w:name w:val="Cabeçalho 4 Caráter1"/>
    <w:basedOn w:val="DefaultParagraphFont"/>
    <w:uiPriority w:val="9"/>
    <w:semiHidden/>
    <w:qFormat/>
    <w:rPr>
      <w:rFonts w:ascii="Cambria" w:hAnsi="Cambria" w:eastAsia="宋体" w:cs="" w:asciiTheme="majorHAnsi" w:cstheme="majorBidi" w:eastAsiaTheme="majorEastAsia" w:hAnsiTheme="majorHAnsi"/>
      <w:i/>
      <w:iCs/>
      <w:color w:themeColor="accent1" w:themeShade="bf" w:val="365F91"/>
    </w:rPr>
  </w:style>
  <w:style w:type="character" w:styleId="Cabealho5Carter1" w:customStyle="1">
    <w:name w:val="Cabeçalho 5 Caráter1"/>
    <w:basedOn w:val="DefaultParagraphFont"/>
    <w:uiPriority w:val="9"/>
    <w:semiHidden/>
    <w:qFormat/>
    <w:rPr>
      <w:rFonts w:ascii="Cambria" w:hAnsi="Cambria" w:eastAsia="宋体" w:cs="" w:asciiTheme="majorHAnsi" w:cstheme="majorBidi" w:eastAsiaTheme="majorEastAsia" w:hAnsiTheme="majorHAnsi"/>
      <w:color w:themeColor="accent1" w:themeShade="bf" w:val="365F91"/>
    </w:rPr>
  </w:style>
  <w:style w:type="character" w:styleId="Cabealho6Carter1" w:customStyle="1">
    <w:name w:val="Cabeçalho 6 Caráter1"/>
    <w:basedOn w:val="DefaultParagraphFont"/>
    <w:uiPriority w:val="9"/>
    <w:semiHidden/>
    <w:qFormat/>
    <w:rPr>
      <w:rFonts w:ascii="Cambria" w:hAnsi="Cambria" w:eastAsia="宋体" w:cs="" w:asciiTheme="majorHAnsi" w:cstheme="majorBidi" w:eastAsiaTheme="majorEastAsia" w:hAnsiTheme="majorHAnsi"/>
      <w:color w:themeColor="accent1" w:themeShade="80" w:val="244061"/>
    </w:rPr>
  </w:style>
  <w:style w:type="character" w:styleId="Cabealho7Carter1" w:customStyle="1">
    <w:name w:val="Cabeçalho 7 Caráter1"/>
    <w:basedOn w:val="DefaultParagraphFont"/>
    <w:uiPriority w:val="9"/>
    <w:semiHidden/>
    <w:qFormat/>
    <w:rPr>
      <w:rFonts w:ascii="Cambria" w:hAnsi="Cambria" w:eastAsia="宋体" w:cs="" w:asciiTheme="majorHAnsi" w:cstheme="majorBidi" w:eastAsiaTheme="majorEastAsia" w:hAnsiTheme="majorHAnsi"/>
      <w:i/>
      <w:iCs/>
      <w:color w:themeColor="accent1" w:themeShade="80" w:val="244061"/>
    </w:rPr>
  </w:style>
  <w:style w:type="character" w:styleId="Cabealho8Carter1" w:customStyle="1">
    <w:name w:val="Cabeçalho 8 Caráter1"/>
    <w:basedOn w:val="DefaultParagraphFont"/>
    <w:uiPriority w:val="9"/>
    <w:semiHidden/>
    <w:qFormat/>
    <w:rPr>
      <w:rFonts w:ascii="Cambria" w:hAnsi="Cambria" w:eastAsia="宋体" w:cs="" w:asciiTheme="majorHAnsi" w:cstheme="majorBidi" w:eastAsiaTheme="majorEastAsia" w:hAnsiTheme="majorHAnsi"/>
      <w:color w:themeColor="text1" w:themeTint="d9" w:val="262626"/>
      <w:sz w:val="21"/>
      <w:szCs w:val="21"/>
    </w:rPr>
  </w:style>
  <w:style w:type="character" w:styleId="Cabealho9Carter1" w:customStyle="1">
    <w:name w:val="Cabeçalho 9 Caráter1"/>
    <w:basedOn w:val="DefaultParagraphFont"/>
    <w:uiPriority w:val="9"/>
    <w:semiHidden/>
    <w:qFormat/>
    <w:rPr>
      <w:rFonts w:ascii="Cambria" w:hAnsi="Cambria" w:eastAsia="宋体" w:cs="" w:asciiTheme="majorHAnsi" w:cstheme="majorBidi" w:eastAsiaTheme="majorEastAsia" w:hAnsiTheme="majorHAnsi"/>
      <w:i/>
      <w:iCs/>
      <w:color w:themeColor="text1" w:themeTint="d9" w:val="262626"/>
      <w:sz w:val="21"/>
      <w:szCs w:val="21"/>
    </w:rPr>
  </w:style>
  <w:style w:type="character" w:styleId="CabealhoCarter1" w:customStyle="1">
    <w:name w:val="Cabeçalho Caráter1"/>
    <w:basedOn w:val="DefaultParagraphFont"/>
    <w:uiPriority w:val="99"/>
    <w:semiHidden/>
    <w:qFormat/>
    <w:rPr/>
  </w:style>
  <w:style w:type="character" w:styleId="RodapCarter1" w:customStyle="1">
    <w:name w:val="Rodapé Caráter1"/>
    <w:basedOn w:val="DefaultParagraphFont"/>
    <w:uiPriority w:val="99"/>
    <w:semiHidden/>
    <w:qFormat/>
    <w:rPr/>
  </w:style>
  <w:style w:type="character" w:styleId="TextodebaloCarter1" w:customStyle="1">
    <w:name w:val="Texto de balão Caráter1"/>
    <w:basedOn w:val="DefaultParagraphFont"/>
    <w:uiPriority w:val="99"/>
    <w:semiHidden/>
    <w:qFormat/>
    <w:rPr>
      <w:rFonts w:ascii="Segoe UI" w:hAnsi="Segoe UI" w:cs="Segoe UI"/>
      <w:sz w:val="18"/>
      <w:szCs w:val="18"/>
    </w:rPr>
  </w:style>
  <w:style w:type="character" w:styleId="TtuloCarter1" w:customStyle="1">
    <w:name w:val="Título Caráter1"/>
    <w:basedOn w:val="DefaultParagraphFont"/>
    <w:uiPriority w:val="10"/>
    <w:qFormat/>
    <w:rPr>
      <w:rFonts w:ascii="Cambria" w:hAnsi="Cambria" w:eastAsia="宋体" w:cs="" w:asciiTheme="majorHAnsi" w:cstheme="majorBidi" w:eastAsiaTheme="majorEastAsia" w:hAnsiTheme="majorHAnsi"/>
      <w:spacing w:val="-10"/>
      <w:kern w:val="2"/>
      <w:sz w:val="56"/>
      <w:szCs w:val="56"/>
    </w:rPr>
  </w:style>
  <w:style w:type="character" w:styleId="SubttuloCarter1" w:customStyle="1">
    <w:name w:val="Subtítulo Caráter1"/>
    <w:basedOn w:val="DefaultParagraphFont"/>
    <w:uiPriority w:val="11"/>
    <w:qFormat/>
    <w:rPr>
      <w:rFonts w:eastAsia="宋体" w:eastAsiaTheme="minorEastAsia"/>
      <w:color w:themeColor="text1" w:themeTint="a6" w:val="595959"/>
      <w:spacing w:val="15"/>
    </w:rPr>
  </w:style>
  <w:style w:type="character" w:styleId="CitaoCarter1" w:customStyle="1">
    <w:name w:val="Citação Caráter1"/>
    <w:basedOn w:val="DefaultParagraphFont"/>
    <w:uiPriority w:val="29"/>
    <w:qFormat/>
    <w:rPr>
      <w:i/>
      <w:iCs/>
      <w:color w:themeColor="text1" w:themeTint="bf" w:val="404040"/>
    </w:rPr>
  </w:style>
  <w:style w:type="character" w:styleId="CitaoIntensaCarter1" w:customStyle="1">
    <w:name w:val="Citação Intensa Caráter1"/>
    <w:basedOn w:val="DefaultParagraphFont"/>
    <w:uiPriority w:val="30"/>
    <w:qFormat/>
    <w:rPr>
      <w:i/>
      <w:iCs/>
      <w:color w:themeColor="accent1" w:val="4F81BD"/>
    </w:rPr>
  </w:style>
  <w:style w:type="character" w:styleId="CorpodetextoChar" w:customStyle="1">
    <w:name w:val="Corpo de texto Char"/>
    <w:basedOn w:val="DefaultParagraphFont"/>
    <w:uiPriority w:val="1"/>
    <w:qFormat/>
    <w:rPr>
      <w:rFonts w:ascii="Calibri" w:hAnsi="Calibri" w:eastAsia="Calibri" w:cs="Times New Roman"/>
      <w:lang w:val="en-US"/>
    </w:rPr>
  </w:style>
  <w:style w:type="character" w:styleId="SemEspaamentoChar" w:customStyle="1">
    <w:name w:val="Sem Espaçamento Char"/>
    <w:basedOn w:val="DefaultParagraphFont"/>
    <w:link w:val="NoSpacing"/>
    <w:uiPriority w:val="1"/>
    <w:qFormat/>
    <w:locked/>
    <w:rPr>
      <w:lang w:val="pt-BR"/>
    </w:rPr>
  </w:style>
  <w:style w:type="character" w:styleId="RefernciaDiscreta2" w:customStyle="1">
    <w:name w:val="Referência Discreta2"/>
    <w:basedOn w:val="DefaultParagraphFont"/>
    <w:uiPriority w:val="31"/>
    <w:qFormat/>
    <w:rPr>
      <w:smallCaps/>
      <w:color w:themeColor="accent2" w:val="C0504D"/>
      <w:u w:val="single"/>
    </w:rPr>
  </w:style>
  <w:style w:type="character" w:styleId="RefernciaIntensa2" w:customStyle="1">
    <w:name w:val="Referência Intensa2"/>
    <w:basedOn w:val="DefaultParagraphFont"/>
    <w:uiPriority w:val="32"/>
    <w:qFormat/>
    <w:rPr>
      <w:b/>
      <w:bCs/>
      <w:smallCaps/>
      <w:color w:themeColor="accent2" w:val="C0504D"/>
      <w:spacing w:val="5"/>
      <w:u w:val="single"/>
    </w:rPr>
  </w:style>
  <w:style w:type="character" w:styleId="Corpodetexto3Char" w:customStyle="1">
    <w:name w:val="Corpo de texto 3 Char"/>
    <w:basedOn w:val="DefaultParagraphFont"/>
    <w:link w:val="BodyText3"/>
    <w:uiPriority w:val="99"/>
    <w:qFormat/>
    <w:rPr>
      <w:rFonts w:ascii="Calibri" w:hAnsi="Calibri" w:eastAsia="宋体" w:cs="" w:asciiTheme="minorHAnsi" w:cstheme="minorBidi" w:eastAsiaTheme="minorEastAsia" w:hAnsiTheme="minorHAnsi"/>
      <w:sz w:val="16"/>
      <w:szCs w:val="16"/>
      <w:lang w:val="en-US" w:eastAsia="en-US"/>
    </w:rPr>
  </w:style>
  <w:style w:type="character" w:styleId="Corpodetexto2Char" w:customStyle="1">
    <w:name w:val="Corpo de texto 2 Char"/>
    <w:basedOn w:val="DefaultParagraphFont"/>
    <w:link w:val="BodyText2"/>
    <w:uiPriority w:val="99"/>
    <w:qFormat/>
    <w:rPr>
      <w:rFonts w:ascii="Calibri" w:hAnsi="Calibri" w:eastAsia="宋体" w:cs="" w:asciiTheme="minorHAnsi" w:cstheme="minorBidi" w:eastAsiaTheme="minorEastAsia" w:hAnsiTheme="minorHAnsi"/>
      <w:sz w:val="22"/>
      <w:szCs w:val="22"/>
      <w:lang w:val="en-US" w:eastAsia="en-US"/>
    </w:rPr>
  </w:style>
  <w:style w:type="character" w:styleId="TextodemacroChar" w:customStyle="1">
    <w:name w:val="Texto de macro Char"/>
    <w:basedOn w:val="DefaultParagraphFont"/>
    <w:link w:val="MacroText"/>
    <w:uiPriority w:val="99"/>
    <w:qFormat/>
    <w:rPr>
      <w:rFonts w:ascii="Courier" w:hAnsi="Courier" w:eastAsia="宋体" w:cs="" w:cstheme="minorBidi" w:eastAsiaTheme="minorEastAsia"/>
      <w:lang w:val="en-US" w:eastAsia="en-US"/>
    </w:rPr>
  </w:style>
  <w:style w:type="character" w:styleId="nfaseDiscreto2" w:customStyle="1">
    <w:name w:val="Ênfase Discreto2"/>
    <w:basedOn w:val="DefaultParagraphFont"/>
    <w:uiPriority w:val="19"/>
    <w:qFormat/>
    <w:rPr>
      <w:i/>
      <w:iCs/>
      <w:color w:themeColor="text1" w:themeTint="80" w:val="7F7F7F"/>
    </w:rPr>
  </w:style>
  <w:style w:type="character" w:styleId="nfaseIntenso3" w:customStyle="1">
    <w:name w:val="Ênfase Intenso3"/>
    <w:basedOn w:val="DefaultParagraphFont"/>
    <w:uiPriority w:val="21"/>
    <w:qFormat/>
    <w:rPr>
      <w:b/>
      <w:bCs/>
      <w:i/>
      <w:iCs/>
      <w:color w:themeColor="accent1" w:val="4F81BD"/>
    </w:rPr>
  </w:style>
  <w:style w:type="character" w:styleId="RefernciaDiscreta3" w:customStyle="1">
    <w:name w:val="Referência Discreta3"/>
    <w:basedOn w:val="DefaultParagraphFont"/>
    <w:uiPriority w:val="31"/>
    <w:qFormat/>
    <w:rPr>
      <w:smallCaps/>
      <w:color w:themeColor="accent2" w:val="C0504D"/>
      <w:u w:val="single"/>
    </w:rPr>
  </w:style>
  <w:style w:type="character" w:styleId="RefernciaIntensa3" w:customStyle="1">
    <w:name w:val="Referência Intensa3"/>
    <w:basedOn w:val="DefaultParagraphFont"/>
    <w:uiPriority w:val="32"/>
    <w:qFormat/>
    <w:rPr>
      <w:b/>
      <w:bCs/>
      <w:smallCaps/>
      <w:color w:themeColor="accent2" w:val="C0504D"/>
      <w:spacing w:val="5"/>
      <w:u w:val="single"/>
    </w:rPr>
  </w:style>
  <w:style w:type="character" w:styleId="TtulodoLivro2" w:customStyle="1">
    <w:name w:val="Título do Livro2"/>
    <w:basedOn w:val="DefaultParagraphFont"/>
    <w:uiPriority w:val="33"/>
    <w:qFormat/>
    <w:rPr>
      <w:b/>
      <w:bCs/>
      <w:smallCaps/>
      <w:spacing w:val="5"/>
    </w:rPr>
  </w:style>
  <w:style w:type="character" w:styleId="vkekvd" w:customStyle="1">
    <w:name w:val="vkekvd"/>
    <w:basedOn w:val="DefaultParagraphFont"/>
    <w:qFormat/>
    <w:rPr/>
  </w:style>
  <w:style w:type="character" w:styleId="whitespace-normal" w:customStyle="1">
    <w:name w:val="whitespace-normal"/>
    <w:basedOn w:val="DefaultParagraphFont"/>
    <w:qFormat/>
    <w:rsid w:val="009625e7"/>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har"/>
    <w:uiPriority w:val="1"/>
    <w:unhideWhenUsed/>
    <w:qFormat/>
    <w:pPr>
      <w:widowControl w:val="false"/>
      <w:spacing w:lineRule="auto" w:line="240" w:before="0" w:after="0"/>
      <w:ind w:left="111"/>
    </w:pPr>
    <w:rPr>
      <w:rFonts w:ascii="Calibri" w:hAnsi="Calibri" w:eastAsia="Calibri" w:cs="Times New Roman"/>
      <w:lang w:val="en-US"/>
    </w:rPr>
  </w:style>
  <w:style w:type="paragraph" w:styleId="List">
    <w:name w:val="List"/>
    <w:basedOn w:val="Normal"/>
    <w:uiPriority w:val="99"/>
    <w:unhideWhenUsed/>
    <w:qFormat/>
    <w:pPr>
      <w:spacing w:before="0" w:after="200"/>
      <w:ind w:hanging="360" w:left="360"/>
      <w:contextualSpacing/>
    </w:pPr>
    <w:rPr>
      <w:rFonts w:eastAsia="宋体" w:eastAsiaTheme="minorEastAsia"/>
      <w:lang w:val="en-US"/>
    </w:rPr>
  </w:style>
  <w:style w:type="paragraph" w:styleId="Caption">
    <w:name w:val="caption"/>
    <w:basedOn w:val="Normal"/>
    <w:next w:val="Normal"/>
    <w:uiPriority w:val="35"/>
    <w:unhideWhenUsed/>
    <w:qFormat/>
    <w:pPr>
      <w:spacing w:lineRule="auto" w:line="240" w:before="0" w:after="160"/>
    </w:pPr>
    <w:rPr>
      <w:rFonts w:eastAsia="宋体" w:eastAsiaTheme="minorEastAsia"/>
      <w:b/>
      <w:bCs/>
      <w:smallCaps/>
      <w:color w:themeColor="text2" w:val="1F497D"/>
    </w:rPr>
  </w:style>
  <w:style w:type="paragraph" w:styleId="Index">
    <w:name w:val="Index"/>
    <w:basedOn w:val="Normal"/>
    <w:qFormat/>
    <w:pPr>
      <w:suppressLineNumbers/>
    </w:pPr>
    <w:rPr>
      <w:rFonts w:cs="Noto Sans Devanagari"/>
    </w:rPr>
  </w:style>
  <w:style w:type="paragraph" w:styleId="CommentText">
    <w:name w:val="annotation text"/>
    <w:basedOn w:val="Normal"/>
    <w:link w:val="TextodecomentrioChar"/>
    <w:uiPriority w:val="99"/>
    <w:semiHidden/>
    <w:unhideWhenUsed/>
    <w:qFormat/>
    <w:pPr>
      <w:spacing w:lineRule="auto" w:line="240" w:before="0" w:after="0"/>
    </w:pPr>
    <w:rPr>
      <w:rFonts w:ascii="Times New Roman" w:hAnsi="Times New Roman" w:eastAsia="Times New Roman" w:cs="Times New Roman"/>
      <w:sz w:val="20"/>
      <w:szCs w:val="20"/>
      <w:lang w:eastAsia="pt-PT"/>
    </w:rPr>
  </w:style>
  <w:style w:type="paragraph" w:styleId="BodyText3">
    <w:name w:val="Body Text 3"/>
    <w:basedOn w:val="Normal"/>
    <w:link w:val="Corpodetexto3Char"/>
    <w:uiPriority w:val="99"/>
    <w:unhideWhenUsed/>
    <w:qFormat/>
    <w:pPr>
      <w:spacing w:before="0" w:after="120"/>
    </w:pPr>
    <w:rPr>
      <w:rFonts w:eastAsia="宋体" w:eastAsiaTheme="minorEastAsia"/>
      <w:sz w:val="16"/>
      <w:szCs w:val="16"/>
      <w:lang w:val="en-US"/>
    </w:rPr>
  </w:style>
  <w:style w:type="paragraph" w:styleId="BodyText2">
    <w:name w:val="Body Text 2"/>
    <w:basedOn w:val="Normal"/>
    <w:link w:val="Corpodetexto2Char"/>
    <w:uiPriority w:val="99"/>
    <w:unhideWhenUsed/>
    <w:qFormat/>
    <w:pPr>
      <w:spacing w:lineRule="auto" w:line="480" w:before="0" w:after="120"/>
    </w:pPr>
    <w:rPr>
      <w:rFonts w:eastAsia="宋体" w:eastAsiaTheme="minorEastAsia"/>
      <w:lang w:val="en-US"/>
    </w:rPr>
  </w:style>
  <w:style w:type="paragraph" w:styleId="annotationsubject">
    <w:name w:val="annotation subject"/>
    <w:basedOn w:val="CommentText"/>
    <w:next w:val="CommentText"/>
    <w:link w:val="AssuntodocomentrioChar"/>
    <w:uiPriority w:val="99"/>
    <w:semiHidden/>
    <w:unhideWhenUsed/>
    <w:qFormat/>
    <w:pPr/>
    <w:rPr>
      <w:b/>
      <w:bCs/>
    </w:rPr>
  </w:style>
  <w:style w:type="paragraph" w:styleId="BalloonText">
    <w:name w:val="Balloon Text"/>
    <w:basedOn w:val="Normal"/>
    <w:link w:val="TextodebaloChar"/>
    <w:uiPriority w:val="99"/>
    <w:semiHidden/>
    <w:unhideWhenUsed/>
    <w:qFormat/>
    <w:pPr>
      <w:spacing w:lineRule="auto" w:line="240" w:before="0" w:after="0"/>
    </w:pPr>
    <w:rPr>
      <w:rFonts w:ascii="Tahoma" w:hAnsi="Tahoma" w:cs="Tahoma"/>
      <w:sz w:val="16"/>
      <w:szCs w:val="16"/>
      <w:lang w:val="pt-BR"/>
    </w:rPr>
  </w:style>
  <w:style w:type="paragraph" w:styleId="TableofFigures">
    <w:name w:val="table of figures"/>
    <w:basedOn w:val="Normal"/>
    <w:next w:val="Normal"/>
    <w:uiPriority w:val="99"/>
    <w:unhideWhenUsed/>
    <w:qFormat/>
    <w:pPr>
      <w:spacing w:lineRule="auto" w:line="259" w:before="0" w:after="0"/>
    </w:pPr>
    <w:rPr>
      <w:rFonts w:eastAsia="宋体" w:eastAsiaTheme="minorEastAsia"/>
    </w:rPr>
  </w:style>
  <w:style w:type="paragraph" w:styleId="List2">
    <w:name w:val="List 2"/>
    <w:basedOn w:val="Normal"/>
    <w:uiPriority w:val="99"/>
    <w:unhideWhenUsed/>
    <w:qFormat/>
    <w:pPr>
      <w:spacing w:before="0" w:after="200"/>
      <w:ind w:hanging="360" w:left="720"/>
      <w:contextualSpacing/>
    </w:pPr>
    <w:rPr>
      <w:rFonts w:eastAsia="宋体" w:eastAsiaTheme="minorEastAsia"/>
      <w:lang w:val="en-US"/>
    </w:rPr>
  </w:style>
  <w:style w:type="paragraph" w:styleId="TOC1">
    <w:name w:val="toc 1"/>
    <w:basedOn w:val="Normal"/>
    <w:next w:val="Normal"/>
    <w:autoRedefine/>
    <w:uiPriority w:val="39"/>
    <w:unhideWhenUsed/>
    <w:qFormat/>
    <w:pPr>
      <w:spacing w:lineRule="auto" w:line="259" w:before="0" w:after="100"/>
    </w:pPr>
    <w:rPr>
      <w:rFonts w:eastAsia="宋体" w:eastAsiaTheme="minorEastAsia"/>
    </w:rPr>
  </w:style>
  <w:style w:type="paragraph" w:styleId="ListContinue3">
    <w:name w:val="List Continue 3"/>
    <w:basedOn w:val="Normal"/>
    <w:uiPriority w:val="99"/>
    <w:unhideWhenUsed/>
    <w:qFormat/>
    <w:pPr>
      <w:spacing w:before="0" w:after="120"/>
      <w:ind w:left="1080"/>
      <w:contextualSpacing/>
    </w:pPr>
    <w:rPr>
      <w:rFonts w:eastAsia="宋体" w:eastAsiaTheme="minorEastAsia"/>
      <w:lang w:val="en-US"/>
    </w:rPr>
  </w:style>
  <w:style w:type="paragraph" w:styleId="ListBullet">
    <w:name w:val="List Bullet"/>
    <w:basedOn w:val="Normal"/>
    <w:uiPriority w:val="99"/>
    <w:unhideWhenUsed/>
    <w:qFormat/>
    <w:pPr>
      <w:numPr>
        <w:ilvl w:val="0"/>
        <w:numId w:val="1"/>
      </w:numPr>
      <w:tabs>
        <w:tab w:val="clear" w:pos="708"/>
      </w:tabs>
      <w:spacing w:before="0" w:after="200"/>
      <w:ind w:hanging="0" w:left="0"/>
      <w:contextualSpacing/>
    </w:pPr>
    <w:rPr>
      <w:rFonts w:eastAsia="宋体" w:eastAsiaTheme="minorEastAsia"/>
      <w:lang w:val="en-US"/>
    </w:rPr>
  </w:style>
  <w:style w:type="paragraph" w:styleId="ListContinue2">
    <w:name w:val="List Continue 2"/>
    <w:basedOn w:val="Normal"/>
    <w:uiPriority w:val="99"/>
    <w:unhideWhenUsed/>
    <w:qFormat/>
    <w:pPr>
      <w:spacing w:before="0" w:after="120"/>
      <w:ind w:left="720"/>
      <w:contextualSpacing/>
    </w:pPr>
    <w:rPr>
      <w:rFonts w:eastAsia="宋体" w:eastAsiaTheme="minorEastAsia"/>
      <w:lang w:val="en-US"/>
    </w:rPr>
  </w:style>
  <w:style w:type="paragraph" w:styleId="ListBullet3">
    <w:name w:val="List Bullet 3"/>
    <w:basedOn w:val="Normal"/>
    <w:uiPriority w:val="99"/>
    <w:unhideWhenUsed/>
    <w:qFormat/>
    <w:pPr>
      <w:numPr>
        <w:ilvl w:val="0"/>
        <w:numId w:val="2"/>
      </w:numPr>
      <w:tabs>
        <w:tab w:val="clear" w:pos="708"/>
      </w:tabs>
      <w:spacing w:before="0" w:after="200"/>
      <w:ind w:hanging="0" w:left="0"/>
      <w:contextualSpacing/>
    </w:pPr>
    <w:rPr>
      <w:rFonts w:eastAsia="宋体" w:eastAsiaTheme="minorEastAsia"/>
      <w:lang w:val="en-US"/>
    </w:rPr>
  </w:style>
  <w:style w:type="paragraph" w:styleId="TOC3">
    <w:name w:val="toc 3"/>
    <w:basedOn w:val="Normal"/>
    <w:next w:val="Normal"/>
    <w:autoRedefine/>
    <w:uiPriority w:val="39"/>
    <w:unhideWhenUsed/>
    <w:qFormat/>
    <w:pPr>
      <w:spacing w:lineRule="auto" w:line="259" w:before="0" w:after="100"/>
      <w:ind w:left="440"/>
    </w:pPr>
    <w:rPr>
      <w:rFonts w:eastAsia="宋体" w:eastAsiaTheme="minorEastAsia"/>
    </w:rPr>
  </w:style>
  <w:style w:type="paragraph" w:styleId="ListNumber3">
    <w:name w:val="List Number 3"/>
    <w:basedOn w:val="Normal"/>
    <w:uiPriority w:val="99"/>
    <w:unhideWhenUsed/>
    <w:qFormat/>
    <w:pPr>
      <w:numPr>
        <w:ilvl w:val="0"/>
        <w:numId w:val="3"/>
      </w:numPr>
      <w:tabs>
        <w:tab w:val="clear" w:pos="708"/>
      </w:tabs>
      <w:spacing w:before="0" w:after="200"/>
      <w:ind w:hanging="0" w:left="0"/>
      <w:contextualSpacing/>
    </w:pPr>
    <w:rPr>
      <w:rFonts w:eastAsia="宋体" w:eastAsiaTheme="minorEastAsia"/>
      <w:lang w:val="en-US"/>
    </w:rPr>
  </w:style>
  <w:style w:type="paragraph" w:styleId="HeaderandFooter">
    <w:name w:val="Header and Footer"/>
    <w:basedOn w:val="Normal"/>
    <w:qFormat/>
    <w:pPr/>
    <w:rPr/>
  </w:style>
  <w:style w:type="paragraph" w:styleId="Footer">
    <w:name w:val="footer"/>
    <w:basedOn w:val="Normal"/>
    <w:link w:val="RodapChar"/>
    <w:uiPriority w:val="99"/>
    <w:unhideWhenUsed/>
    <w:qFormat/>
    <w:pPr>
      <w:tabs>
        <w:tab w:val="clear" w:pos="708"/>
        <w:tab w:val="center" w:pos="4252" w:leader="none"/>
        <w:tab w:val="right" w:pos="8504" w:leader="none"/>
      </w:tabs>
      <w:spacing w:lineRule="auto" w:line="240" w:before="0" w:after="0"/>
    </w:pPr>
    <w:rPr/>
  </w:style>
  <w:style w:type="paragraph" w:styleId="ListNumber2">
    <w:name w:val="List Number 2"/>
    <w:basedOn w:val="Normal"/>
    <w:uiPriority w:val="99"/>
    <w:unhideWhenUsed/>
    <w:qFormat/>
    <w:pPr>
      <w:numPr>
        <w:ilvl w:val="0"/>
        <w:numId w:val="4"/>
      </w:numPr>
      <w:tabs>
        <w:tab w:val="clear" w:pos="708"/>
      </w:tabs>
      <w:spacing w:before="0" w:after="200"/>
      <w:ind w:hanging="0" w:left="0"/>
      <w:contextualSpacing/>
    </w:pPr>
    <w:rPr>
      <w:rFonts w:eastAsia="宋体" w:eastAsiaTheme="minorEastAsia"/>
      <w:lang w:val="en-US"/>
    </w:rPr>
  </w:style>
  <w:style w:type="paragraph" w:styleId="Header">
    <w:name w:val="header"/>
    <w:basedOn w:val="Normal"/>
    <w:link w:val="CabealhoChar"/>
    <w:uiPriority w:val="99"/>
    <w:unhideWhenUsed/>
    <w:qFormat/>
    <w:pPr>
      <w:tabs>
        <w:tab w:val="clear" w:pos="708"/>
        <w:tab w:val="center" w:pos="4252" w:leader="none"/>
        <w:tab w:val="right" w:pos="8504" w:leader="none"/>
      </w:tabs>
      <w:spacing w:lineRule="auto" w:line="240" w:before="0" w:after="0"/>
    </w:pPr>
    <w:rPr/>
  </w:style>
  <w:style w:type="paragraph" w:styleId="List3">
    <w:name w:val="List 3"/>
    <w:basedOn w:val="Normal"/>
    <w:uiPriority w:val="99"/>
    <w:unhideWhenUsed/>
    <w:qFormat/>
    <w:pPr>
      <w:spacing w:before="0" w:after="200"/>
      <w:ind w:hanging="360" w:left="1080"/>
      <w:contextualSpacing/>
    </w:pPr>
    <w:rPr>
      <w:rFonts w:eastAsia="宋体" w:eastAsiaTheme="minorEastAsia"/>
      <w:lang w:val="en-US"/>
    </w:rPr>
  </w:style>
  <w:style w:type="paragraph" w:styleId="ListNumber">
    <w:name w:val="List Number"/>
    <w:basedOn w:val="Normal"/>
    <w:uiPriority w:val="99"/>
    <w:unhideWhenUsed/>
    <w:qFormat/>
    <w:pPr>
      <w:numPr>
        <w:ilvl w:val="0"/>
        <w:numId w:val="5"/>
      </w:numPr>
      <w:tabs>
        <w:tab w:val="clear" w:pos="708"/>
      </w:tabs>
      <w:spacing w:before="0" w:after="200"/>
      <w:ind w:hanging="0" w:left="0"/>
      <w:contextualSpacing/>
    </w:pPr>
    <w:rPr>
      <w:rFonts w:eastAsia="宋体" w:eastAsiaTheme="minorEastAsia"/>
      <w:lang w:val="en-US"/>
    </w:rPr>
  </w:style>
  <w:style w:type="paragraph" w:styleId="ListContinue">
    <w:name w:val="List Continue"/>
    <w:basedOn w:val="Normal"/>
    <w:uiPriority w:val="99"/>
    <w:unhideWhenUsed/>
    <w:qFormat/>
    <w:pPr>
      <w:spacing w:before="0" w:after="120"/>
      <w:ind w:left="360"/>
      <w:contextualSpacing/>
    </w:pPr>
    <w:rPr>
      <w:rFonts w:eastAsia="宋体" w:eastAsiaTheme="minorEastAsia"/>
      <w:lang w:val="en-US"/>
    </w:rPr>
  </w:style>
  <w:style w:type="paragraph" w:styleId="ListBullet2">
    <w:name w:val="List Bullet 2"/>
    <w:basedOn w:val="Normal"/>
    <w:uiPriority w:val="99"/>
    <w:unhideWhenUsed/>
    <w:qFormat/>
    <w:pPr>
      <w:numPr>
        <w:ilvl w:val="0"/>
        <w:numId w:val="6"/>
      </w:numPr>
      <w:tabs>
        <w:tab w:val="clear" w:pos="708"/>
      </w:tabs>
      <w:spacing w:before="0" w:after="200"/>
      <w:ind w:hanging="0" w:left="0"/>
      <w:contextualSpacing/>
    </w:pPr>
    <w:rPr>
      <w:rFonts w:eastAsia="宋体" w:eastAsiaTheme="minorEastAsia"/>
      <w:lang w:val="en-US"/>
    </w:rPr>
  </w:style>
  <w:style w:type="paragraph" w:styleId="TOC2">
    <w:name w:val="toc 2"/>
    <w:basedOn w:val="Normal"/>
    <w:next w:val="Normal"/>
    <w:autoRedefine/>
    <w:uiPriority w:val="39"/>
    <w:unhideWhenUsed/>
    <w:qFormat/>
    <w:pPr>
      <w:spacing w:lineRule="auto" w:line="259" w:before="0" w:after="100"/>
      <w:ind w:left="220"/>
    </w:pPr>
    <w:rPr>
      <w:rFonts w:eastAsia="宋体" w:eastAsiaTheme="minorEastAsia"/>
    </w:rPr>
  </w:style>
  <w:style w:type="paragraph" w:styleId="MacroText">
    <w:name w:val="macro"/>
    <w:link w:val="TextodemacroChar"/>
    <w:uiPriority w:val="99"/>
    <w:unhideWhenUsed/>
    <w:qFormat/>
    <w:pPr>
      <w:widowControl/>
      <w:tabs>
        <w:tab w:val="clear" w:pos="708"/>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宋体" w:cs="" w:cstheme="minorBidi" w:eastAsiaTheme="minorEastAsia"/>
      <w:color w:val="auto"/>
      <w:kern w:val="0"/>
      <w:sz w:val="20"/>
      <w:szCs w:val="20"/>
      <w:lang w:val="en-US" w:eastAsia="en-US" w:bidi="ar-SA"/>
    </w:rPr>
  </w:style>
  <w:style w:type="paragraph" w:styleId="NormalWeb">
    <w:name w:val="Normal (Web)"/>
    <w:basedOn w:val="Normal"/>
    <w:uiPriority w:val="99"/>
    <w:unhideWhenUsed/>
    <w:qFormat/>
    <w:pPr>
      <w:spacing w:lineRule="auto" w:line="240" w:beforeAutospacing="1" w:afterAutospacing="1"/>
    </w:pPr>
    <w:rPr>
      <w:rFonts w:ascii="Times New Roman" w:hAnsi="Times New Roman" w:eastAsia="Times New Roman" w:cs="Times New Roman"/>
      <w:sz w:val="24"/>
      <w:szCs w:val="24"/>
      <w:lang w:eastAsia="pt-PT"/>
    </w:rPr>
  </w:style>
  <w:style w:type="paragraph" w:styleId="Subtitle">
    <w:name w:val="Subtitle"/>
    <w:basedOn w:val="Normal"/>
    <w:next w:val="Normal"/>
    <w:link w:val="SubttuloChar"/>
    <w:uiPriority w:val="11"/>
    <w:qFormat/>
    <w:pPr/>
    <w:rPr>
      <w:rFonts w:ascii="Calibri Light" w:hAnsi="Calibri Light" w:eastAsia="Times New Roman" w:cs="Times New Roman"/>
      <w:i/>
      <w:iCs/>
      <w:color w:val="5B9BD5"/>
      <w:spacing w:val="15"/>
      <w:sz w:val="24"/>
      <w:szCs w:val="24"/>
    </w:rPr>
  </w:style>
  <w:style w:type="paragraph" w:styleId="Title">
    <w:name w:val="Title"/>
    <w:basedOn w:val="Normal"/>
    <w:next w:val="Normal"/>
    <w:link w:val="TtuloChar"/>
    <w:uiPriority w:val="10"/>
    <w:qFormat/>
    <w:pPr>
      <w:pBdr>
        <w:bottom w:val="single" w:sz="8" w:space="4" w:color="4F81BD" w:themeColor="accent1"/>
      </w:pBdr>
      <w:spacing w:lineRule="auto" w:line="240" w:before="0" w:after="300"/>
      <w:contextualSpacing/>
    </w:pPr>
    <w:rPr>
      <w:rFonts w:ascii="Calibri Light" w:hAnsi="Calibri Light" w:eastAsia="Times New Roman" w:cs="Times New Roman"/>
      <w:color w:val="323E4F"/>
      <w:spacing w:val="5"/>
      <w:kern w:val="2"/>
      <w:sz w:val="52"/>
      <w:szCs w:val="52"/>
      <w:lang w:eastAsia="pt-PT" w:bidi="as-IN"/>
    </w:rPr>
  </w:style>
  <w:style w:type="paragraph" w:styleId="Cabealho11" w:customStyle="1">
    <w:name w:val="Cabeçalho 11"/>
    <w:basedOn w:val="Normal"/>
    <w:next w:val="Normal"/>
    <w:link w:val="Cabealho1Carcter"/>
    <w:uiPriority w:val="9"/>
    <w:qFormat/>
    <w:pPr>
      <w:keepNext w:val="true"/>
      <w:keepLines/>
      <w:spacing w:lineRule="auto" w:line="259" w:before="240" w:after="0"/>
      <w:outlineLvl w:val="0"/>
    </w:pPr>
    <w:rPr>
      <w:rFonts w:ascii="Calibri Light" w:hAnsi="Calibri Light" w:eastAsia="Times New Roman" w:cs="Times New Roman"/>
      <w:color w:val="2E74B5"/>
      <w:sz w:val="32"/>
      <w:szCs w:val="32"/>
    </w:rPr>
  </w:style>
  <w:style w:type="paragraph" w:styleId="Cabealho31" w:customStyle="1">
    <w:name w:val="Cabeçalho 31"/>
    <w:basedOn w:val="Normal"/>
    <w:next w:val="Normal"/>
    <w:uiPriority w:val="9"/>
    <w:unhideWhenUsed/>
    <w:qFormat/>
    <w:pPr>
      <w:keepNext w:val="true"/>
      <w:keepLines/>
      <w:spacing w:lineRule="auto" w:line="259" w:before="200" w:after="0"/>
      <w:outlineLvl w:val="2"/>
    </w:pPr>
    <w:rPr>
      <w:rFonts w:ascii="Calibri Light" w:hAnsi="Calibri Light" w:eastAsia="Times New Roman" w:cs="Times New Roman"/>
      <w:b/>
      <w:bCs/>
      <w:color w:val="5B9BD5"/>
      <w:lang w:val="pt-BR"/>
    </w:rPr>
  </w:style>
  <w:style w:type="paragraph" w:styleId="Cabealho81" w:customStyle="1">
    <w:name w:val="Cabeçalho 81"/>
    <w:basedOn w:val="Normal"/>
    <w:next w:val="Normal"/>
    <w:uiPriority w:val="9"/>
    <w:semiHidden/>
    <w:unhideWhenUsed/>
    <w:qFormat/>
    <w:pPr>
      <w:keepNext w:val="true"/>
      <w:keepLines/>
      <w:spacing w:lineRule="auto" w:line="259" w:before="200" w:after="0"/>
      <w:outlineLvl w:val="7"/>
    </w:pPr>
    <w:rPr>
      <w:rFonts w:ascii="Calibri Light" w:hAnsi="Calibri Light" w:eastAsia="Times New Roman" w:cs="Times New Roman"/>
      <w:color w:val="404040"/>
      <w:sz w:val="20"/>
      <w:szCs w:val="20"/>
      <w:lang w:val="pt-BR"/>
    </w:rPr>
  </w:style>
  <w:style w:type="paragraph" w:styleId="Ttulodondice1" w:customStyle="1">
    <w:name w:val="Título do Índice1"/>
    <w:basedOn w:val="Heading1"/>
    <w:next w:val="Normal"/>
    <w:uiPriority w:val="39"/>
    <w:unhideWhenUsed/>
    <w:qFormat/>
    <w:pPr>
      <w:spacing w:lineRule="auto" w:line="259" w:before="240" w:after="0"/>
      <w:outlineLvl w:val="9"/>
    </w:pPr>
    <w:rPr>
      <w:b w:val="false"/>
      <w:bCs w:val="false"/>
      <w:sz w:val="32"/>
      <w:szCs w:val="32"/>
      <w:lang w:val="pt-BR"/>
    </w:rPr>
  </w:style>
  <w:style w:type="paragraph" w:styleId="ListParagraph">
    <w:name w:val="List Paragraph"/>
    <w:basedOn w:val="Normal"/>
    <w:link w:val="PargrafodaListaChar"/>
    <w:uiPriority w:val="34"/>
    <w:qFormat/>
    <w:pPr>
      <w:spacing w:before="0" w:after="200"/>
      <w:ind w:left="720"/>
      <w:contextualSpacing/>
    </w:pPr>
    <w:rPr>
      <w:rFonts w:ascii="Calibri" w:hAnsi="Calibri" w:eastAsia="Calibri" w:cs="Times New Roman"/>
    </w:rPr>
  </w:style>
  <w:style w:type="paragraph" w:styleId="Subttulo1" w:customStyle="1">
    <w:name w:val="Subtítulo1"/>
    <w:basedOn w:val="Normal"/>
    <w:next w:val="Normal"/>
    <w:uiPriority w:val="11"/>
    <w:qFormat/>
    <w:pPr/>
    <w:rPr>
      <w:rFonts w:ascii="Calibri Light" w:hAnsi="Calibri Light" w:eastAsia="Times New Roman" w:cs="Times New Roman"/>
      <w:i/>
      <w:iCs/>
      <w:color w:val="5B9BD5"/>
      <w:spacing w:val="15"/>
      <w:sz w:val="24"/>
      <w:szCs w:val="24"/>
      <w:lang w:val="pt-BR"/>
    </w:rPr>
  </w:style>
  <w:style w:type="paragraph" w:styleId="Ttulo1" w:customStyle="1">
    <w:name w:val="Título1"/>
    <w:basedOn w:val="Normal"/>
    <w:next w:val="Normal"/>
    <w:uiPriority w:val="10"/>
    <w:qFormat/>
    <w:pPr>
      <w:pBdr>
        <w:bottom w:val="single" w:sz="8" w:space="4" w:color="5B9BD5"/>
      </w:pBdr>
      <w:spacing w:lineRule="auto" w:line="240" w:before="0" w:after="300"/>
      <w:contextualSpacing/>
    </w:pPr>
    <w:rPr>
      <w:rFonts w:ascii="Calibri Light" w:hAnsi="Calibri Light" w:eastAsia="Times New Roman" w:cs="Times New Roman"/>
      <w:color w:val="323E4F"/>
      <w:spacing w:val="5"/>
      <w:kern w:val="2"/>
      <w:sz w:val="52"/>
      <w:szCs w:val="52"/>
      <w:lang w:eastAsia="pt-PT" w:bidi="as-IN"/>
    </w:rPr>
  </w:style>
  <w:style w:type="paragraph" w:styleId="font5" w:customStyle="1">
    <w:name w:val="font5"/>
    <w:basedOn w:val="Normal"/>
    <w:qFormat/>
    <w:pPr>
      <w:spacing w:lineRule="auto" w:line="240" w:beforeAutospacing="1" w:afterAutospacing="1"/>
    </w:pPr>
    <w:rPr>
      <w:rFonts w:ascii="Calibri" w:hAnsi="Calibri" w:eastAsia="Times New Roman" w:cs="Calibri"/>
      <w:sz w:val="20"/>
      <w:szCs w:val="20"/>
      <w:lang w:eastAsia="pt-PT"/>
    </w:rPr>
  </w:style>
  <w:style w:type="paragraph" w:styleId="font6" w:customStyle="1">
    <w:name w:val="font6"/>
    <w:basedOn w:val="Normal"/>
    <w:qFormat/>
    <w:pPr>
      <w:spacing w:lineRule="auto" w:line="240" w:beforeAutospacing="1" w:afterAutospacing="1"/>
    </w:pPr>
    <w:rPr>
      <w:rFonts w:ascii="Calibri" w:hAnsi="Calibri" w:eastAsia="Times New Roman" w:cs="Calibri"/>
      <w:b/>
      <w:bCs/>
      <w:sz w:val="20"/>
      <w:szCs w:val="20"/>
      <w:lang w:eastAsia="pt-PT"/>
    </w:rPr>
  </w:style>
  <w:style w:type="paragraph" w:styleId="font7" w:customStyle="1">
    <w:name w:val="font7"/>
    <w:basedOn w:val="Normal"/>
    <w:qFormat/>
    <w:pPr>
      <w:spacing w:lineRule="auto" w:line="240" w:beforeAutospacing="1" w:afterAutospacing="1"/>
    </w:pPr>
    <w:rPr>
      <w:rFonts w:ascii="Calibri" w:hAnsi="Calibri" w:eastAsia="Times New Roman" w:cs="Calibri"/>
      <w:sz w:val="14"/>
      <w:szCs w:val="14"/>
      <w:lang w:eastAsia="pt-PT"/>
    </w:rPr>
  </w:style>
  <w:style w:type="paragraph" w:styleId="font8" w:customStyle="1">
    <w:name w:val="font8"/>
    <w:basedOn w:val="Normal"/>
    <w:uiPriority w:val="99"/>
    <w:qFormat/>
    <w:pPr>
      <w:spacing w:lineRule="auto" w:line="240" w:beforeAutospacing="1" w:afterAutospacing="1"/>
    </w:pPr>
    <w:rPr>
      <w:rFonts w:ascii="Calibri" w:hAnsi="Calibri" w:eastAsia="Times New Roman" w:cs="Calibri"/>
      <w:color w:val="333333"/>
      <w:sz w:val="14"/>
      <w:szCs w:val="14"/>
      <w:lang w:eastAsia="pt-PT"/>
    </w:rPr>
  </w:style>
  <w:style w:type="paragraph" w:styleId="xl65" w:customStyle="1">
    <w:name w:val="xl65"/>
    <w:basedOn w:val="Normal"/>
    <w:qFormat/>
    <w:pPr>
      <w:shd w:val="clear" w:color="000000" w:fill="FFFFFF"/>
      <w:spacing w:lineRule="auto" w:line="240" w:beforeAutospacing="1" w:afterAutospacing="1"/>
    </w:pPr>
    <w:rPr>
      <w:rFonts w:ascii="Times New Roman" w:hAnsi="Times New Roman" w:eastAsia="Times New Roman" w:cs="Times New Roman"/>
      <w:sz w:val="24"/>
      <w:szCs w:val="24"/>
      <w:lang w:eastAsia="pt-PT"/>
    </w:rPr>
  </w:style>
  <w:style w:type="paragraph" w:styleId="xl66" w:customStyle="1">
    <w:name w:val="xl66"/>
    <w:basedOn w:val="Normal"/>
    <w:qFormat/>
    <w:pPr>
      <w:shd w:val="clear" w:color="000000" w:fill="FFFFFF"/>
      <w:spacing w:lineRule="auto" w:line="240" w:beforeAutospacing="1" w:afterAutospacing="1"/>
      <w:jc w:val="right"/>
      <w:textAlignment w:val="center"/>
    </w:pPr>
    <w:rPr>
      <w:rFonts w:ascii="Arial" w:hAnsi="Arial" w:eastAsia="Times New Roman" w:cs="Arial"/>
      <w:color w:val="000000"/>
      <w:sz w:val="16"/>
      <w:szCs w:val="16"/>
      <w:lang w:eastAsia="pt-PT"/>
    </w:rPr>
  </w:style>
  <w:style w:type="paragraph" w:styleId="xl67" w:customStyle="1">
    <w:name w:val="xl67"/>
    <w:basedOn w:val="Normal"/>
    <w:qFormat/>
    <w:pPr>
      <w:shd w:val="clear" w:color="000000" w:fill="FFFFFF"/>
      <w:spacing w:lineRule="auto" w:line="240" w:beforeAutospacing="1" w:afterAutospacing="1"/>
      <w:textAlignment w:val="center"/>
    </w:pPr>
    <w:rPr>
      <w:rFonts w:ascii="Arial" w:hAnsi="Arial" w:eastAsia="Times New Roman" w:cs="Arial"/>
      <w:color w:val="000000"/>
      <w:sz w:val="20"/>
      <w:szCs w:val="20"/>
      <w:lang w:eastAsia="pt-PT"/>
    </w:rPr>
  </w:style>
  <w:style w:type="paragraph" w:styleId="xl68" w:customStyle="1">
    <w:name w:val="xl68"/>
    <w:basedOn w:val="Normal"/>
    <w:qFormat/>
    <w:pPr>
      <w:pBdr>
        <w:top w:val="single" w:sz="4" w:space="0" w:color="CCCCCC"/>
        <w:left w:val="single" w:sz="4" w:space="0" w:color="CCCCCC"/>
        <w:bottom w:val="single" w:sz="4" w:space="0" w:color="CCCCCC"/>
      </w:pBdr>
      <w:shd w:val="clear" w:color="000000" w:fill="FFFFFF"/>
      <w:spacing w:lineRule="auto" w:line="240" w:beforeAutospacing="1" w:afterAutospacing="1"/>
      <w:textAlignment w:val="center"/>
    </w:pPr>
    <w:rPr>
      <w:rFonts w:ascii="Arial" w:hAnsi="Arial" w:eastAsia="Times New Roman" w:cs="Arial"/>
      <w:color w:val="333333"/>
      <w:sz w:val="14"/>
      <w:szCs w:val="14"/>
      <w:lang w:eastAsia="pt-PT"/>
    </w:rPr>
  </w:style>
  <w:style w:type="paragraph" w:styleId="xl69" w:customStyle="1">
    <w:name w:val="xl69"/>
    <w:basedOn w:val="Normal"/>
    <w:qFormat/>
    <w:pPr>
      <w:pBdr>
        <w:top w:val="single" w:sz="4" w:space="0" w:color="CCCCCC"/>
        <w:bottom w:val="single" w:sz="4" w:space="0" w:color="CCCCCC"/>
        <w:right w:val="single" w:sz="4" w:space="0" w:color="CCCCCC"/>
      </w:pBdr>
      <w:shd w:val="clear" w:color="000000" w:fill="FFFFFF"/>
      <w:spacing w:lineRule="auto" w:line="240" w:beforeAutospacing="1" w:afterAutospacing="1"/>
      <w:textAlignment w:val="center"/>
    </w:pPr>
    <w:rPr>
      <w:rFonts w:ascii="Arial" w:hAnsi="Arial" w:eastAsia="Times New Roman" w:cs="Arial"/>
      <w:color w:val="333333"/>
      <w:sz w:val="14"/>
      <w:szCs w:val="14"/>
      <w:lang w:eastAsia="pt-PT"/>
    </w:rPr>
  </w:style>
  <w:style w:type="paragraph" w:styleId="xl70" w:customStyle="1">
    <w:name w:val="xl70"/>
    <w:basedOn w:val="Normal"/>
    <w:qFormat/>
    <w:pPr>
      <w:pBdr>
        <w:top w:val="single" w:sz="4" w:space="0" w:color="CCCCCC"/>
        <w:left w:val="single" w:sz="4" w:space="0" w:color="CCCCCC"/>
        <w:bottom w:val="single" w:sz="4" w:space="0" w:color="CCCCCC"/>
      </w:pBdr>
      <w:shd w:val="clear" w:color="000000" w:fill="FFFFFF"/>
      <w:spacing w:lineRule="auto" w:line="240" w:beforeAutospacing="1" w:afterAutospacing="1"/>
      <w:jc w:val="center"/>
      <w:textAlignment w:val="center"/>
    </w:pPr>
    <w:rPr>
      <w:rFonts w:ascii="Arial" w:hAnsi="Arial" w:eastAsia="Times New Roman" w:cs="Arial"/>
      <w:color w:val="333333"/>
      <w:sz w:val="14"/>
      <w:szCs w:val="14"/>
      <w:lang w:eastAsia="pt-PT"/>
    </w:rPr>
  </w:style>
  <w:style w:type="paragraph" w:styleId="xl71" w:customStyle="1">
    <w:name w:val="xl71"/>
    <w:basedOn w:val="Normal"/>
    <w:qFormat/>
    <w:pPr>
      <w:pBdr>
        <w:top w:val="single" w:sz="4" w:space="0" w:color="CCCCCC"/>
        <w:bottom w:val="single" w:sz="4" w:space="0" w:color="CCCCCC"/>
      </w:pBdr>
      <w:shd w:val="clear" w:color="000000" w:fill="FFFFFF"/>
      <w:spacing w:lineRule="auto" w:line="240" w:beforeAutospacing="1" w:afterAutospacing="1"/>
      <w:jc w:val="center"/>
      <w:textAlignment w:val="center"/>
    </w:pPr>
    <w:rPr>
      <w:rFonts w:ascii="Arial" w:hAnsi="Arial" w:eastAsia="Times New Roman" w:cs="Arial"/>
      <w:color w:val="333333"/>
      <w:sz w:val="14"/>
      <w:szCs w:val="14"/>
      <w:lang w:eastAsia="pt-PT"/>
    </w:rPr>
  </w:style>
  <w:style w:type="paragraph" w:styleId="xl72" w:customStyle="1">
    <w:name w:val="xl72"/>
    <w:basedOn w:val="Normal"/>
    <w:qFormat/>
    <w:pPr>
      <w:pBdr>
        <w:top w:val="single" w:sz="4" w:space="0" w:color="CCCCCC"/>
        <w:bottom w:val="single" w:sz="4" w:space="0" w:color="CCCCCC"/>
        <w:right w:val="single" w:sz="4" w:space="0" w:color="CCCCCC"/>
      </w:pBdr>
      <w:shd w:val="clear" w:color="000000" w:fill="FFFFFF"/>
      <w:spacing w:lineRule="auto" w:line="240" w:beforeAutospacing="1" w:afterAutospacing="1"/>
      <w:jc w:val="center"/>
      <w:textAlignment w:val="center"/>
    </w:pPr>
    <w:rPr>
      <w:rFonts w:ascii="Arial" w:hAnsi="Arial" w:eastAsia="Times New Roman" w:cs="Arial"/>
      <w:color w:val="333333"/>
      <w:sz w:val="14"/>
      <w:szCs w:val="14"/>
      <w:lang w:eastAsia="pt-PT"/>
    </w:rPr>
  </w:style>
  <w:style w:type="paragraph" w:styleId="xl73" w:customStyle="1">
    <w:name w:val="xl73"/>
    <w:basedOn w:val="Normal"/>
    <w:qFormat/>
    <w:pPr>
      <w:pBdr>
        <w:top w:val="single" w:sz="4" w:space="0" w:color="666666"/>
        <w:left w:val="single" w:sz="4" w:space="0" w:color="666666"/>
        <w:bottom w:val="single" w:sz="8" w:space="0" w:color="000000"/>
      </w:pBdr>
      <w:shd w:val="clear" w:color="000000" w:fill="FFFFFF"/>
      <w:spacing w:lineRule="auto" w:line="240" w:beforeAutospacing="1" w:afterAutospacing="1"/>
      <w:textAlignment w:val="center"/>
    </w:pPr>
    <w:rPr>
      <w:rFonts w:ascii="Arial" w:hAnsi="Arial" w:eastAsia="Times New Roman" w:cs="Arial"/>
      <w:b/>
      <w:bCs/>
      <w:color w:val="000000"/>
      <w:sz w:val="20"/>
      <w:szCs w:val="20"/>
      <w:lang w:eastAsia="pt-PT"/>
    </w:rPr>
  </w:style>
  <w:style w:type="paragraph" w:styleId="xl74" w:customStyle="1">
    <w:name w:val="xl74"/>
    <w:basedOn w:val="Normal"/>
    <w:qFormat/>
    <w:pPr>
      <w:pBdr>
        <w:top w:val="single" w:sz="4" w:space="0" w:color="666666"/>
        <w:bottom w:val="single" w:sz="8" w:space="0" w:color="000000"/>
        <w:right w:val="single" w:sz="4" w:space="0" w:color="666666"/>
      </w:pBdr>
      <w:shd w:val="clear" w:color="000000" w:fill="FFFFFF"/>
      <w:spacing w:lineRule="auto" w:line="240" w:beforeAutospacing="1" w:afterAutospacing="1"/>
      <w:textAlignment w:val="center"/>
    </w:pPr>
    <w:rPr>
      <w:rFonts w:ascii="Arial" w:hAnsi="Arial" w:eastAsia="Times New Roman" w:cs="Arial"/>
      <w:b/>
      <w:bCs/>
      <w:color w:val="000000"/>
      <w:sz w:val="20"/>
      <w:szCs w:val="20"/>
      <w:lang w:eastAsia="pt-PT"/>
    </w:rPr>
  </w:style>
  <w:style w:type="paragraph" w:styleId="xl75" w:customStyle="1">
    <w:name w:val="xl75"/>
    <w:basedOn w:val="Normal"/>
    <w:qFormat/>
    <w:pPr>
      <w:pBdr>
        <w:top w:val="single" w:sz="4" w:space="0" w:color="666666"/>
        <w:left w:val="single" w:sz="4" w:space="0" w:color="666666"/>
        <w:bottom w:val="single" w:sz="8" w:space="0" w:color="000000"/>
      </w:pBdr>
      <w:shd w:val="clear" w:color="000000" w:fill="FFFFFF"/>
      <w:spacing w:lineRule="auto" w:line="240" w:beforeAutospacing="1" w:afterAutospacing="1"/>
      <w:textAlignment w:val="center"/>
    </w:pPr>
    <w:rPr>
      <w:rFonts w:ascii="Arial" w:hAnsi="Arial" w:eastAsia="Times New Roman" w:cs="Arial"/>
      <w:b/>
      <w:bCs/>
      <w:color w:val="000000"/>
      <w:sz w:val="20"/>
      <w:szCs w:val="20"/>
      <w:lang w:eastAsia="pt-PT"/>
    </w:rPr>
  </w:style>
  <w:style w:type="paragraph" w:styleId="xl76" w:customStyle="1">
    <w:name w:val="xl76"/>
    <w:basedOn w:val="Normal"/>
    <w:qFormat/>
    <w:pPr>
      <w:pBdr>
        <w:top w:val="single" w:sz="4" w:space="0" w:color="666666"/>
        <w:bottom w:val="single" w:sz="8" w:space="0" w:color="000000"/>
      </w:pBdr>
      <w:shd w:val="clear" w:color="000000" w:fill="FFFFFF"/>
      <w:spacing w:lineRule="auto" w:line="240" w:beforeAutospacing="1" w:afterAutospacing="1"/>
      <w:textAlignment w:val="center"/>
    </w:pPr>
    <w:rPr>
      <w:rFonts w:ascii="Arial" w:hAnsi="Arial" w:eastAsia="Times New Roman" w:cs="Arial"/>
      <w:b/>
      <w:bCs/>
      <w:color w:val="000000"/>
      <w:sz w:val="20"/>
      <w:szCs w:val="20"/>
      <w:lang w:eastAsia="pt-PT"/>
    </w:rPr>
  </w:style>
  <w:style w:type="paragraph" w:styleId="xl77" w:customStyle="1">
    <w:name w:val="xl77"/>
    <w:basedOn w:val="Normal"/>
    <w:qFormat/>
    <w:pPr>
      <w:pBdr>
        <w:top w:val="single" w:sz="4" w:space="0" w:color="666666"/>
        <w:bottom w:val="single" w:sz="8" w:space="0" w:color="000000"/>
        <w:right w:val="single" w:sz="4" w:space="0" w:color="666666"/>
      </w:pBdr>
      <w:shd w:val="clear" w:color="000000" w:fill="FFFFFF"/>
      <w:spacing w:lineRule="auto" w:line="240" w:beforeAutospacing="1" w:afterAutospacing="1"/>
      <w:textAlignment w:val="center"/>
    </w:pPr>
    <w:rPr>
      <w:rFonts w:ascii="Arial" w:hAnsi="Arial" w:eastAsia="Times New Roman" w:cs="Arial"/>
      <w:b/>
      <w:bCs/>
      <w:color w:val="000000"/>
      <w:sz w:val="20"/>
      <w:szCs w:val="20"/>
      <w:lang w:eastAsia="pt-PT"/>
    </w:rPr>
  </w:style>
  <w:style w:type="paragraph" w:styleId="xl78" w:customStyle="1">
    <w:name w:val="xl78"/>
    <w:basedOn w:val="Normal"/>
    <w:qFormat/>
    <w:pPr>
      <w:shd w:val="clear" w:color="000000" w:fill="FFFFFF"/>
      <w:spacing w:lineRule="auto" w:line="240" w:beforeAutospacing="1" w:afterAutospacing="1"/>
      <w:textAlignment w:val="center"/>
    </w:pPr>
    <w:rPr>
      <w:rFonts w:ascii="Calibri" w:hAnsi="Calibri" w:eastAsia="Times New Roman" w:cs="Calibri"/>
      <w:sz w:val="20"/>
      <w:szCs w:val="20"/>
      <w:lang w:eastAsia="pt-PT"/>
    </w:rPr>
  </w:style>
  <w:style w:type="paragraph" w:styleId="xl79" w:customStyle="1">
    <w:name w:val="xl79"/>
    <w:basedOn w:val="Normal"/>
    <w:qFormat/>
    <w:pPr>
      <w:pBdr>
        <w:top w:val="single" w:sz="8" w:space="0" w:color="000000"/>
        <w:bottom w:val="single" w:sz="4" w:space="0" w:color="666666"/>
      </w:pBdr>
      <w:shd w:val="clear" w:color="000000" w:fill="FFFFFF"/>
      <w:spacing w:lineRule="auto" w:line="240" w:beforeAutospacing="1" w:afterAutospacing="1"/>
    </w:pPr>
    <w:rPr>
      <w:rFonts w:ascii="Times New Roman" w:hAnsi="Times New Roman" w:eastAsia="Times New Roman" w:cs="Times New Roman"/>
      <w:sz w:val="24"/>
      <w:szCs w:val="24"/>
      <w:lang w:eastAsia="pt-PT"/>
    </w:rPr>
  </w:style>
  <w:style w:type="paragraph" w:styleId="xl80" w:customStyle="1">
    <w:name w:val="xl80"/>
    <w:basedOn w:val="Normal"/>
    <w:qFormat/>
    <w:pPr>
      <w:shd w:val="clear" w:color="000000" w:fill="FFFFFF"/>
      <w:spacing w:lineRule="auto" w:line="240" w:beforeAutospacing="1" w:afterAutospacing="1"/>
      <w:textAlignment w:val="top"/>
    </w:pPr>
    <w:rPr>
      <w:rFonts w:ascii="Times New Roman" w:hAnsi="Times New Roman" w:eastAsia="Times New Roman" w:cs="Times New Roman"/>
      <w:sz w:val="24"/>
      <w:szCs w:val="24"/>
      <w:lang w:eastAsia="pt-PT"/>
    </w:rPr>
  </w:style>
  <w:style w:type="paragraph" w:styleId="xl81" w:customStyle="1">
    <w:name w:val="xl81"/>
    <w:basedOn w:val="Normal"/>
    <w:qFormat/>
    <w:pPr>
      <w:shd w:val="clear" w:color="000000" w:fill="FFFFFF"/>
      <w:spacing w:lineRule="auto" w:line="240" w:beforeAutospacing="1" w:afterAutospacing="1"/>
      <w:jc w:val="center"/>
      <w:textAlignment w:val="center"/>
    </w:pPr>
    <w:rPr>
      <w:rFonts w:ascii="Arial" w:hAnsi="Arial" w:eastAsia="Times New Roman" w:cs="Arial"/>
      <w:b/>
      <w:bCs/>
      <w:color w:val="000000"/>
      <w:sz w:val="24"/>
      <w:szCs w:val="24"/>
      <w:lang w:eastAsia="pt-PT"/>
    </w:rPr>
  </w:style>
  <w:style w:type="paragraph" w:styleId="xl82" w:customStyle="1">
    <w:name w:val="xl82"/>
    <w:basedOn w:val="Normal"/>
    <w:qFormat/>
    <w:pPr>
      <w:shd w:val="clear" w:color="000000" w:fill="FFFFFF"/>
      <w:spacing w:lineRule="auto" w:line="240" w:beforeAutospacing="1" w:afterAutospacing="1"/>
      <w:jc w:val="right"/>
      <w:textAlignment w:val="center"/>
    </w:pPr>
    <w:rPr>
      <w:rFonts w:ascii="Arial" w:hAnsi="Arial" w:eastAsia="Times New Roman" w:cs="Arial"/>
      <w:color w:val="000000"/>
      <w:sz w:val="20"/>
      <w:szCs w:val="20"/>
      <w:lang w:eastAsia="pt-PT"/>
    </w:rPr>
  </w:style>
  <w:style w:type="paragraph" w:styleId="xl83" w:customStyle="1">
    <w:name w:val="xl83"/>
    <w:basedOn w:val="Normal"/>
    <w:qFormat/>
    <w:pPr>
      <w:shd w:val="clear" w:color="000000" w:fill="FFFFFF"/>
      <w:spacing w:lineRule="auto" w:line="240" w:beforeAutospacing="1" w:afterAutospacing="1"/>
      <w:jc w:val="right"/>
      <w:textAlignment w:val="center"/>
    </w:pPr>
    <w:rPr>
      <w:rFonts w:ascii="Arial" w:hAnsi="Arial" w:eastAsia="Times New Roman" w:cs="Arial"/>
      <w:color w:val="000000"/>
      <w:sz w:val="20"/>
      <w:szCs w:val="20"/>
      <w:lang w:eastAsia="pt-PT"/>
    </w:rPr>
  </w:style>
  <w:style w:type="paragraph" w:styleId="xl84" w:customStyle="1">
    <w:name w:val="xl84"/>
    <w:basedOn w:val="Normal"/>
    <w:qFormat/>
    <w:pPr>
      <w:pBdr>
        <w:top w:val="single" w:sz="4" w:space="0" w:color="666666"/>
        <w:left w:val="single" w:sz="4" w:space="0" w:color="666666"/>
        <w:bottom w:val="single" w:sz="8" w:space="0" w:color="000000"/>
      </w:pBdr>
      <w:shd w:val="clear" w:color="000000" w:fill="FFFFFF"/>
      <w:spacing w:lineRule="auto" w:line="240" w:beforeAutospacing="1" w:afterAutospacing="1"/>
      <w:jc w:val="center"/>
      <w:textAlignment w:val="center"/>
    </w:pPr>
    <w:rPr>
      <w:rFonts w:ascii="Arial" w:hAnsi="Arial" w:eastAsia="Times New Roman" w:cs="Arial"/>
      <w:b/>
      <w:bCs/>
      <w:color w:val="000000"/>
      <w:sz w:val="20"/>
      <w:szCs w:val="20"/>
      <w:lang w:eastAsia="pt-PT"/>
    </w:rPr>
  </w:style>
  <w:style w:type="paragraph" w:styleId="xl85" w:customStyle="1">
    <w:name w:val="xl85"/>
    <w:basedOn w:val="Normal"/>
    <w:qFormat/>
    <w:pPr>
      <w:pBdr>
        <w:top w:val="single" w:sz="4" w:space="0" w:color="666666"/>
        <w:bottom w:val="single" w:sz="8" w:space="0" w:color="000000"/>
        <w:right w:val="single" w:sz="4" w:space="0" w:color="666666"/>
      </w:pBdr>
      <w:shd w:val="clear" w:color="000000" w:fill="FFFFFF"/>
      <w:spacing w:lineRule="auto" w:line="240" w:beforeAutospacing="1" w:afterAutospacing="1"/>
      <w:jc w:val="center"/>
      <w:textAlignment w:val="center"/>
    </w:pPr>
    <w:rPr>
      <w:rFonts w:ascii="Arial" w:hAnsi="Arial" w:eastAsia="Times New Roman" w:cs="Arial"/>
      <w:b/>
      <w:bCs/>
      <w:color w:val="000000"/>
      <w:sz w:val="20"/>
      <w:szCs w:val="20"/>
      <w:lang w:eastAsia="pt-PT"/>
    </w:rPr>
  </w:style>
  <w:style w:type="paragraph" w:styleId="xl86" w:customStyle="1">
    <w:name w:val="xl86"/>
    <w:basedOn w:val="Normal"/>
    <w:qFormat/>
    <w:pPr>
      <w:pBdr>
        <w:top w:val="single" w:sz="4" w:space="0" w:color="CCCCCC"/>
        <w:left w:val="single" w:sz="4" w:space="0" w:color="CCCCCC"/>
        <w:bottom w:val="single" w:sz="4" w:space="0" w:color="CCCCCC"/>
      </w:pBdr>
      <w:shd w:val="clear" w:color="000000" w:fill="FFFFFF"/>
      <w:spacing w:lineRule="auto" w:line="240" w:beforeAutospacing="1" w:afterAutospacing="1"/>
      <w:jc w:val="center"/>
      <w:textAlignment w:val="center"/>
    </w:pPr>
    <w:rPr>
      <w:rFonts w:ascii="Arial" w:hAnsi="Arial" w:eastAsia="Times New Roman" w:cs="Arial"/>
      <w:color w:val="000000"/>
      <w:sz w:val="14"/>
      <w:szCs w:val="14"/>
      <w:lang w:eastAsia="pt-PT"/>
    </w:rPr>
  </w:style>
  <w:style w:type="paragraph" w:styleId="xl87" w:customStyle="1">
    <w:name w:val="xl87"/>
    <w:basedOn w:val="Normal"/>
    <w:qFormat/>
    <w:pPr>
      <w:pBdr>
        <w:top w:val="single" w:sz="4" w:space="0" w:color="CCCCCC"/>
        <w:bottom w:val="single" w:sz="4" w:space="0" w:color="CCCCCC"/>
        <w:right w:val="single" w:sz="4" w:space="0" w:color="CCCCCC"/>
      </w:pBdr>
      <w:shd w:val="clear" w:color="000000" w:fill="FFFFFF"/>
      <w:spacing w:lineRule="auto" w:line="240" w:beforeAutospacing="1" w:afterAutospacing="1"/>
      <w:jc w:val="center"/>
      <w:textAlignment w:val="center"/>
    </w:pPr>
    <w:rPr>
      <w:rFonts w:ascii="Arial" w:hAnsi="Arial" w:eastAsia="Times New Roman" w:cs="Arial"/>
      <w:color w:val="000000"/>
      <w:sz w:val="14"/>
      <w:szCs w:val="14"/>
      <w:lang w:eastAsia="pt-PT"/>
    </w:rPr>
  </w:style>
  <w:style w:type="paragraph" w:styleId="xl88" w:customStyle="1">
    <w:name w:val="xl88"/>
    <w:basedOn w:val="Normal"/>
    <w:qFormat/>
    <w:pPr>
      <w:pBdr>
        <w:top w:val="single" w:sz="8" w:space="0" w:color="000000"/>
        <w:bottom w:val="single" w:sz="4" w:space="0" w:color="CCCCCC"/>
      </w:pBdr>
      <w:shd w:val="clear" w:color="000000" w:fill="FFFFFF"/>
      <w:spacing w:lineRule="auto" w:line="240" w:beforeAutospacing="1" w:afterAutospacing="1"/>
    </w:pPr>
    <w:rPr>
      <w:rFonts w:ascii="Times New Roman" w:hAnsi="Times New Roman" w:eastAsia="Times New Roman" w:cs="Times New Roman"/>
      <w:sz w:val="24"/>
      <w:szCs w:val="24"/>
      <w:lang w:eastAsia="pt-PT"/>
    </w:rPr>
  </w:style>
  <w:style w:type="paragraph" w:styleId="xl89" w:customStyle="1">
    <w:name w:val="xl89"/>
    <w:basedOn w:val="Normal"/>
    <w:qFormat/>
    <w:pPr>
      <w:shd w:val="clear" w:color="000000" w:fill="FFFFFF"/>
      <w:spacing w:lineRule="auto" w:line="240" w:beforeAutospacing="1" w:afterAutospacing="1"/>
      <w:jc w:val="center"/>
      <w:textAlignment w:val="center"/>
    </w:pPr>
    <w:rPr>
      <w:rFonts w:ascii="Calibri" w:hAnsi="Calibri" w:eastAsia="Times New Roman" w:cs="Calibri"/>
      <w:b/>
      <w:bCs/>
      <w:sz w:val="24"/>
      <w:szCs w:val="24"/>
      <w:lang w:eastAsia="pt-PT"/>
    </w:rPr>
  </w:style>
  <w:style w:type="paragraph" w:styleId="NoSpacing">
    <w:name w:val="No Spacing"/>
    <w:link w:val="SemEspaamentoChar"/>
    <w:uiPriority w:val="1"/>
    <w:qFormat/>
    <w:pPr>
      <w:widowControl/>
      <w:bidi w:val="0"/>
      <w:spacing w:before="0" w:after="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xl63" w:customStyle="1">
    <w:name w:val="xl63"/>
    <w:basedOn w:val="Normal"/>
    <w:qFormat/>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textAlignment w:val="center"/>
    </w:pPr>
    <w:rPr>
      <w:rFonts w:ascii="Times New Roman" w:hAnsi="Times New Roman" w:eastAsia="Times New Roman" w:cs="Times New Roman"/>
      <w:color w:val="333333"/>
      <w:sz w:val="24"/>
      <w:szCs w:val="24"/>
      <w:lang w:eastAsia="pt-PT"/>
    </w:rPr>
  </w:style>
  <w:style w:type="paragraph" w:styleId="xl64" w:customStyle="1">
    <w:name w:val="xl64"/>
    <w:basedOn w:val="Normal"/>
    <w:qFormat/>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jc w:val="center"/>
      <w:textAlignment w:val="center"/>
    </w:pPr>
    <w:rPr>
      <w:rFonts w:ascii="Times New Roman" w:hAnsi="Times New Roman" w:eastAsia="Times New Roman" w:cs="Times New Roman"/>
      <w:color w:val="333333"/>
      <w:sz w:val="24"/>
      <w:szCs w:val="24"/>
      <w:lang w:eastAsia="pt-PT"/>
    </w:rPr>
  </w:style>
  <w:style w:type="paragraph" w:styleId="xl90" w:customStyle="1">
    <w:name w:val="xl90"/>
    <w:basedOn w:val="Normal"/>
    <w:qFormat/>
    <w:pPr>
      <w:pBdr>
        <w:top w:val="single" w:sz="4" w:space="0" w:color="000000"/>
      </w:pBdr>
      <w:shd w:val="clear" w:color="000000" w:fill="FFFFFF"/>
      <w:spacing w:lineRule="auto" w:line="240" w:beforeAutospacing="1" w:afterAutospacing="1"/>
    </w:pPr>
    <w:rPr>
      <w:rFonts w:ascii="Times New Roman" w:hAnsi="Times New Roman" w:eastAsia="Times New Roman" w:cs="Times New Roman"/>
      <w:sz w:val="24"/>
      <w:szCs w:val="24"/>
      <w:lang w:eastAsia="pt-PT"/>
    </w:rPr>
  </w:style>
  <w:style w:type="paragraph" w:styleId="xl91" w:customStyle="1">
    <w:name w:val="xl91"/>
    <w:basedOn w:val="Normal"/>
    <w:qFormat/>
    <w:pPr>
      <w:pBdr>
        <w:top w:val="single" w:sz="4" w:space="0" w:color="000000"/>
        <w:right w:val="single" w:sz="8" w:space="0" w:color="000000"/>
      </w:pBdr>
      <w:shd w:val="clear" w:color="000000" w:fill="FFFFFF"/>
      <w:spacing w:lineRule="auto" w:line="240" w:beforeAutospacing="1" w:afterAutospacing="1"/>
    </w:pPr>
    <w:rPr>
      <w:rFonts w:ascii="Times New Roman" w:hAnsi="Times New Roman" w:eastAsia="Times New Roman" w:cs="Times New Roman"/>
      <w:sz w:val="24"/>
      <w:szCs w:val="24"/>
      <w:lang w:eastAsia="pt-PT"/>
    </w:rPr>
  </w:style>
  <w:style w:type="paragraph" w:styleId="xl92" w:customStyle="1">
    <w:name w:val="xl92"/>
    <w:basedOn w:val="Normal"/>
    <w:qFormat/>
    <w:pPr>
      <w:shd w:val="clear" w:color="000000" w:fill="FFFFFF"/>
      <w:spacing w:lineRule="auto" w:line="240" w:beforeAutospacing="1" w:afterAutospacing="1"/>
      <w:jc w:val="center"/>
      <w:textAlignment w:val="center"/>
    </w:pPr>
    <w:rPr>
      <w:rFonts w:ascii="SansSerif" w:hAnsi="SansSerif" w:eastAsia="Times New Roman" w:cs="Times New Roman"/>
      <w:color w:val="000000"/>
      <w:sz w:val="28"/>
      <w:szCs w:val="28"/>
      <w:lang w:eastAsia="pt-PT"/>
    </w:rPr>
  </w:style>
  <w:style w:type="paragraph" w:styleId="xl93" w:customStyle="1">
    <w:name w:val="xl93"/>
    <w:basedOn w:val="Normal"/>
    <w:qFormat/>
    <w:pPr>
      <w:pBdr>
        <w:left w:val="single" w:sz="4" w:space="0" w:color="000000"/>
        <w:bottom w:val="single" w:sz="4" w:space="0" w:color="000000"/>
      </w:pBdr>
      <w:spacing w:lineRule="auto" w:line="240" w:beforeAutospacing="1" w:afterAutospacing="1"/>
      <w:jc w:val="center"/>
    </w:pPr>
    <w:rPr>
      <w:rFonts w:ascii="Times New Roman" w:hAnsi="Times New Roman" w:eastAsia="Times New Roman" w:cs="Times New Roman"/>
      <w:sz w:val="24"/>
      <w:szCs w:val="24"/>
      <w:lang w:eastAsia="pt-PT"/>
    </w:rPr>
  </w:style>
  <w:style w:type="paragraph" w:styleId="xl94" w:customStyle="1">
    <w:name w:val="xl94"/>
    <w:basedOn w:val="Normal"/>
    <w:qFormat/>
    <w:pPr>
      <w:pBdr>
        <w:bottom w:val="single" w:sz="4" w:space="0" w:color="000000"/>
      </w:pBdr>
      <w:spacing w:lineRule="auto" w:line="240" w:beforeAutospacing="1" w:afterAutospacing="1"/>
      <w:jc w:val="center"/>
    </w:pPr>
    <w:rPr>
      <w:rFonts w:ascii="Times New Roman" w:hAnsi="Times New Roman" w:eastAsia="Times New Roman" w:cs="Times New Roman"/>
      <w:sz w:val="24"/>
      <w:szCs w:val="24"/>
      <w:lang w:eastAsia="pt-PT"/>
    </w:rPr>
  </w:style>
  <w:style w:type="paragraph" w:styleId="xl95" w:customStyle="1">
    <w:name w:val="xl95"/>
    <w:basedOn w:val="Normal"/>
    <w:qFormat/>
    <w:pPr>
      <w:pBdr>
        <w:bottom w:val="single" w:sz="4" w:space="0" w:color="000000"/>
        <w:right w:val="single" w:sz="4" w:space="0" w:color="000000"/>
      </w:pBdr>
      <w:spacing w:lineRule="auto" w:line="240" w:beforeAutospacing="1" w:afterAutospacing="1"/>
      <w:jc w:val="center"/>
    </w:pPr>
    <w:rPr>
      <w:rFonts w:ascii="Times New Roman" w:hAnsi="Times New Roman" w:eastAsia="Times New Roman" w:cs="Times New Roman"/>
      <w:sz w:val="24"/>
      <w:szCs w:val="24"/>
      <w:lang w:eastAsia="pt-PT"/>
    </w:rPr>
  </w:style>
  <w:style w:type="paragraph" w:styleId="Quote">
    <w:name w:val="Quote"/>
    <w:basedOn w:val="Normal"/>
    <w:next w:val="Normal"/>
    <w:link w:val="CitaoChar"/>
    <w:uiPriority w:val="29"/>
    <w:qFormat/>
    <w:pPr>
      <w:spacing w:lineRule="auto" w:line="259" w:before="120" w:after="120"/>
      <w:ind w:left="720"/>
    </w:pPr>
    <w:rPr>
      <w:rFonts w:eastAsia="宋体" w:eastAsiaTheme="minorEastAsia"/>
      <w:color w:themeColor="text2" w:val="1F497D"/>
      <w:sz w:val="24"/>
      <w:szCs w:val="24"/>
    </w:rPr>
  </w:style>
  <w:style w:type="paragraph" w:styleId="IntenseQuote">
    <w:name w:val="Intense Quote"/>
    <w:basedOn w:val="Normal"/>
    <w:next w:val="Normal"/>
    <w:link w:val="CitaoIntensaChar"/>
    <w:uiPriority w:val="30"/>
    <w:qFormat/>
    <w:pPr>
      <w:spacing w:lineRule="auto" w:line="240" w:beforeAutospacing="1" w:after="240"/>
      <w:ind w:left="720"/>
      <w:jc w:val="center"/>
    </w:pPr>
    <w:rPr>
      <w:rFonts w:ascii="Cambria" w:hAnsi="Cambria" w:eastAsia="宋体" w:cs="" w:asciiTheme="majorHAnsi" w:cstheme="majorBidi" w:eastAsiaTheme="majorEastAsia" w:hAnsiTheme="majorHAnsi"/>
      <w:color w:themeColor="text2" w:val="1F497D"/>
      <w:spacing w:val="-6"/>
      <w:sz w:val="32"/>
      <w:szCs w:val="32"/>
    </w:rPr>
  </w:style>
  <w:style w:type="paragraph" w:styleId="Default" w:customStyle="1">
    <w:name w:val="Default"/>
    <w:uiPriority w:val="99"/>
    <w:qFormat/>
    <w:pPr>
      <w:widowControl/>
      <w:bidi w:val="0"/>
      <w:spacing w:before="0" w:after="0"/>
      <w:jc w:val="left"/>
    </w:pPr>
    <w:rPr>
      <w:rFonts w:ascii="Arial" w:hAnsi="Arial" w:eastAsia="Calibri" w:cs="Arial"/>
      <w:color w:val="000000"/>
      <w:kern w:val="0"/>
      <w:sz w:val="24"/>
      <w:szCs w:val="24"/>
      <w:lang w:val="pt-BR" w:eastAsia="en-US" w:bidi="ar-SA"/>
    </w:rPr>
  </w:style>
  <w:style w:type="paragraph" w:styleId="Cabealho21" w:customStyle="1">
    <w:name w:val="Cabeçalho 21"/>
    <w:basedOn w:val="Normal"/>
    <w:next w:val="Normal"/>
    <w:uiPriority w:val="9"/>
    <w:unhideWhenUsed/>
    <w:qFormat/>
    <w:pPr>
      <w:keepNext w:val="true"/>
      <w:keepLines/>
      <w:spacing w:lineRule="auto" w:line="240" w:before="40" w:after="0"/>
      <w:outlineLvl w:val="1"/>
    </w:pPr>
    <w:rPr>
      <w:rFonts w:ascii="Calibri Light" w:hAnsi="Calibri Light" w:eastAsia="Times New Roman" w:cs="Times New Roman"/>
      <w:color w:val="2E74B5"/>
      <w:sz w:val="32"/>
      <w:szCs w:val="32"/>
    </w:rPr>
  </w:style>
  <w:style w:type="paragraph" w:styleId="Cabealho41" w:customStyle="1">
    <w:name w:val="Cabeçalho 41"/>
    <w:basedOn w:val="Normal"/>
    <w:next w:val="Normal"/>
    <w:uiPriority w:val="9"/>
    <w:semiHidden/>
    <w:unhideWhenUsed/>
    <w:qFormat/>
    <w:pPr>
      <w:keepNext w:val="true"/>
      <w:keepLines/>
      <w:spacing w:lineRule="auto" w:line="259" w:before="40" w:after="0"/>
      <w:outlineLvl w:val="3"/>
    </w:pPr>
    <w:rPr>
      <w:rFonts w:ascii="Calibri Light" w:hAnsi="Calibri Light" w:eastAsia="Times New Roman" w:cs="Times New Roman"/>
      <w:color w:val="2E74B5"/>
      <w:sz w:val="24"/>
      <w:szCs w:val="24"/>
    </w:rPr>
  </w:style>
  <w:style w:type="paragraph" w:styleId="Cabealho51" w:customStyle="1">
    <w:name w:val="Cabeçalho 51"/>
    <w:basedOn w:val="Normal"/>
    <w:next w:val="Normal"/>
    <w:uiPriority w:val="9"/>
    <w:semiHidden/>
    <w:unhideWhenUsed/>
    <w:qFormat/>
    <w:pPr>
      <w:keepNext w:val="true"/>
      <w:keepLines/>
      <w:spacing w:lineRule="auto" w:line="259" w:before="40" w:after="0"/>
      <w:outlineLvl w:val="4"/>
    </w:pPr>
    <w:rPr>
      <w:rFonts w:ascii="Calibri Light" w:hAnsi="Calibri Light" w:eastAsia="Times New Roman" w:cs="Times New Roman"/>
      <w:caps/>
      <w:color w:val="2E74B5"/>
    </w:rPr>
  </w:style>
  <w:style w:type="paragraph" w:styleId="Cabealho61" w:customStyle="1">
    <w:name w:val="Cabeçalho 61"/>
    <w:basedOn w:val="Normal"/>
    <w:next w:val="Normal"/>
    <w:uiPriority w:val="9"/>
    <w:semiHidden/>
    <w:unhideWhenUsed/>
    <w:qFormat/>
    <w:pPr>
      <w:keepNext w:val="true"/>
      <w:keepLines/>
      <w:spacing w:lineRule="auto" w:line="259" w:before="40" w:after="0"/>
      <w:outlineLvl w:val="5"/>
    </w:pPr>
    <w:rPr>
      <w:rFonts w:ascii="Calibri Light" w:hAnsi="Calibri Light" w:eastAsia="Times New Roman" w:cs="Times New Roman"/>
      <w:i/>
      <w:iCs/>
      <w:caps/>
      <w:color w:val="1F4E79"/>
    </w:rPr>
  </w:style>
  <w:style w:type="paragraph" w:styleId="Cabealho71" w:customStyle="1">
    <w:name w:val="Cabeçalho 71"/>
    <w:basedOn w:val="Normal"/>
    <w:next w:val="Normal"/>
    <w:uiPriority w:val="9"/>
    <w:semiHidden/>
    <w:unhideWhenUsed/>
    <w:qFormat/>
    <w:pPr>
      <w:keepNext w:val="true"/>
      <w:keepLines/>
      <w:spacing w:lineRule="auto" w:line="259" w:before="40" w:after="0"/>
      <w:outlineLvl w:val="6"/>
    </w:pPr>
    <w:rPr>
      <w:rFonts w:ascii="Calibri Light" w:hAnsi="Calibri Light" w:eastAsia="Times New Roman" w:cs="Times New Roman"/>
      <w:b/>
      <w:bCs/>
      <w:color w:val="1F4E79"/>
    </w:rPr>
  </w:style>
  <w:style w:type="paragraph" w:styleId="Cabealho91" w:customStyle="1">
    <w:name w:val="Cabeçalho 91"/>
    <w:basedOn w:val="Normal"/>
    <w:next w:val="Normal"/>
    <w:uiPriority w:val="9"/>
    <w:semiHidden/>
    <w:unhideWhenUsed/>
    <w:qFormat/>
    <w:pPr>
      <w:keepNext w:val="true"/>
      <w:keepLines/>
      <w:spacing w:lineRule="auto" w:line="259" w:before="40" w:after="0"/>
      <w:outlineLvl w:val="8"/>
    </w:pPr>
    <w:rPr>
      <w:rFonts w:ascii="Calibri Light" w:hAnsi="Calibri Light" w:eastAsia="Times New Roman" w:cs="Times New Roman"/>
      <w:i/>
      <w:iCs/>
      <w:color w:val="1F4E79"/>
    </w:rPr>
  </w:style>
  <w:style w:type="paragraph" w:styleId="Cabealho1" w:customStyle="1">
    <w:name w:val="Cabeçalho1"/>
    <w:basedOn w:val="Normal"/>
    <w:next w:val="Header"/>
    <w:uiPriority w:val="99"/>
    <w:unhideWhenUsed/>
    <w:qFormat/>
    <w:pPr>
      <w:tabs>
        <w:tab w:val="clear" w:pos="708"/>
        <w:tab w:val="center" w:pos="4252" w:leader="none"/>
        <w:tab w:val="right" w:pos="8504" w:leader="none"/>
      </w:tabs>
      <w:spacing w:lineRule="auto" w:line="240" w:before="0" w:after="0"/>
    </w:pPr>
    <w:rPr/>
  </w:style>
  <w:style w:type="paragraph" w:styleId="Rodap1" w:customStyle="1">
    <w:name w:val="Rodapé1"/>
    <w:basedOn w:val="Normal"/>
    <w:next w:val="Footer"/>
    <w:uiPriority w:val="99"/>
    <w:unhideWhenUsed/>
    <w:qFormat/>
    <w:pPr>
      <w:tabs>
        <w:tab w:val="clear" w:pos="708"/>
        <w:tab w:val="center" w:pos="4252" w:leader="none"/>
        <w:tab w:val="right" w:pos="8504" w:leader="none"/>
      </w:tabs>
      <w:spacing w:lineRule="auto" w:line="240" w:before="0" w:after="0"/>
    </w:pPr>
    <w:rPr/>
  </w:style>
  <w:style w:type="paragraph" w:styleId="Cabealhodondice1" w:customStyle="1">
    <w:name w:val="Cabeçalho do Índice1"/>
    <w:basedOn w:val="Heading1"/>
    <w:next w:val="Normal"/>
    <w:uiPriority w:val="39"/>
    <w:unhideWhenUsed/>
    <w:qFormat/>
    <w:pPr>
      <w:spacing w:lineRule="auto" w:line="259" w:before="240" w:after="0"/>
    </w:pPr>
    <w:rPr>
      <w:rFonts w:ascii="Calibri Light" w:hAnsi="Calibri Light" w:eastAsia="Times New Roman" w:cs="Times New Roman"/>
      <w:b w:val="false"/>
      <w:bCs w:val="false"/>
      <w:color w:themeColor="accent1" w:themeShade="bf" w:val="2E74B5"/>
      <w:sz w:val="32"/>
      <w:szCs w:val="32"/>
    </w:rPr>
  </w:style>
  <w:style w:type="paragraph" w:styleId="Textodebalo1" w:customStyle="1">
    <w:name w:val="Texto de balão1"/>
    <w:basedOn w:val="Normal"/>
    <w:next w:val="BalloonText"/>
    <w:uiPriority w:val="99"/>
    <w:semiHidden/>
    <w:unhideWhenUsed/>
    <w:qFormat/>
    <w:pPr>
      <w:spacing w:lineRule="auto" w:line="240" w:before="0" w:after="0"/>
    </w:pPr>
    <w:rPr>
      <w:rFonts w:ascii="Tahoma" w:hAnsi="Tahoma" w:cs="Tahoma"/>
      <w:sz w:val="16"/>
      <w:szCs w:val="16"/>
    </w:rPr>
  </w:style>
  <w:style w:type="paragraph" w:styleId="Legenda1" w:customStyle="1">
    <w:name w:val="Legenda1"/>
    <w:basedOn w:val="Normal"/>
    <w:next w:val="Normal"/>
    <w:uiPriority w:val="35"/>
    <w:unhideWhenUsed/>
    <w:qFormat/>
    <w:pPr>
      <w:spacing w:lineRule="auto" w:line="240" w:before="0" w:after="160"/>
    </w:pPr>
    <w:rPr>
      <w:rFonts w:eastAsia="Times New Roman"/>
      <w:b/>
      <w:bCs/>
      <w:smallCaps/>
      <w:color w:val="44546A"/>
    </w:rPr>
  </w:style>
  <w:style w:type="paragraph" w:styleId="Citao1" w:customStyle="1">
    <w:name w:val="Citação1"/>
    <w:basedOn w:val="Normal"/>
    <w:next w:val="Normal"/>
    <w:uiPriority w:val="29"/>
    <w:qFormat/>
    <w:pPr>
      <w:spacing w:lineRule="auto" w:line="259" w:before="120" w:after="120"/>
      <w:ind w:left="720"/>
    </w:pPr>
    <w:rPr>
      <w:rFonts w:eastAsia="Times New Roman"/>
      <w:color w:val="44546A"/>
      <w:sz w:val="24"/>
      <w:szCs w:val="24"/>
    </w:rPr>
  </w:style>
  <w:style w:type="paragraph" w:styleId="CitaoIntensa1" w:customStyle="1">
    <w:name w:val="Citação Intensa1"/>
    <w:basedOn w:val="Normal"/>
    <w:next w:val="Normal"/>
    <w:uiPriority w:val="30"/>
    <w:qFormat/>
    <w:pPr>
      <w:spacing w:lineRule="auto" w:line="240" w:beforeAutospacing="1" w:after="240"/>
      <w:ind w:left="720"/>
      <w:jc w:val="center"/>
    </w:pPr>
    <w:rPr>
      <w:rFonts w:ascii="Calibri Light" w:hAnsi="Calibri Light" w:eastAsia="Times New Roman" w:cs="Times New Roman"/>
      <w:color w:val="44546A"/>
      <w:spacing w:val="-6"/>
      <w:sz w:val="32"/>
      <w:szCs w:val="32"/>
    </w:rPr>
  </w:style>
  <w:style w:type="paragraph" w:styleId="ndice11" w:customStyle="1">
    <w:name w:val="Índice 11"/>
    <w:basedOn w:val="Normal"/>
    <w:next w:val="Normal"/>
    <w:autoRedefine/>
    <w:uiPriority w:val="39"/>
    <w:unhideWhenUsed/>
    <w:qFormat/>
    <w:pPr>
      <w:spacing w:lineRule="auto" w:line="259" w:before="0" w:after="100"/>
    </w:pPr>
    <w:rPr>
      <w:rFonts w:eastAsia="Times New Roman"/>
    </w:rPr>
  </w:style>
  <w:style w:type="paragraph" w:styleId="ndice21" w:customStyle="1">
    <w:name w:val="Índice 21"/>
    <w:basedOn w:val="Normal"/>
    <w:next w:val="Normal"/>
    <w:autoRedefine/>
    <w:uiPriority w:val="39"/>
    <w:unhideWhenUsed/>
    <w:qFormat/>
    <w:pPr>
      <w:spacing w:lineRule="auto" w:line="259" w:before="0" w:after="100"/>
      <w:ind w:left="220"/>
    </w:pPr>
    <w:rPr>
      <w:rFonts w:eastAsia="Times New Roman"/>
    </w:rPr>
  </w:style>
  <w:style w:type="paragraph" w:styleId="ndicedeilustraes1" w:customStyle="1">
    <w:name w:val="Índice de ilustrações1"/>
    <w:basedOn w:val="Normal"/>
    <w:next w:val="Normal"/>
    <w:uiPriority w:val="99"/>
    <w:unhideWhenUsed/>
    <w:qFormat/>
    <w:pPr>
      <w:spacing w:lineRule="auto" w:line="259" w:before="0" w:after="0"/>
    </w:pPr>
    <w:rPr>
      <w:rFonts w:eastAsia="Times New Roman"/>
    </w:rPr>
  </w:style>
  <w:style w:type="paragraph" w:styleId="ndice31" w:customStyle="1">
    <w:name w:val="Índice 31"/>
    <w:basedOn w:val="Normal"/>
    <w:next w:val="Normal"/>
    <w:autoRedefine/>
    <w:uiPriority w:val="39"/>
    <w:unhideWhenUsed/>
    <w:qFormat/>
    <w:pPr>
      <w:spacing w:lineRule="auto" w:line="259" w:before="0" w:after="100"/>
      <w:ind w:left="440"/>
    </w:pPr>
    <w:rPr>
      <w:rFonts w:eastAsia="Times New Roman"/>
    </w:rPr>
  </w:style>
  <w:style w:type="paragraph" w:styleId="msonormal" w:customStyle="1">
    <w:name w:val="msonormal"/>
    <w:basedOn w:val="Normal"/>
    <w:qFormat/>
    <w:pPr>
      <w:spacing w:lineRule="auto" w:line="240" w:beforeAutospacing="1" w:afterAutospacing="1"/>
    </w:pPr>
    <w:rPr>
      <w:rFonts w:ascii="Times New Roman" w:hAnsi="Times New Roman" w:eastAsia="Times New Roman" w:cs="Times New Roman"/>
      <w:sz w:val="24"/>
      <w:szCs w:val="24"/>
      <w:lang w:eastAsia="pt-PT"/>
    </w:rPr>
  </w:style>
  <w:style w:type="paragraph" w:styleId="TableParagraph" w:customStyle="1">
    <w:name w:val="Table Paragraph"/>
    <w:basedOn w:val="Normal"/>
    <w:uiPriority w:val="1"/>
    <w:qFormat/>
    <w:pPr>
      <w:widowControl w:val="false"/>
      <w:spacing w:lineRule="auto" w:line="240" w:before="0" w:after="0"/>
    </w:pPr>
    <w:rPr>
      <w:rFonts w:ascii="Calibri" w:hAnsi="Calibri" w:eastAsia="Calibri" w:cs="Calibri"/>
    </w:rPr>
  </w:style>
  <w:style w:type="paragraph" w:styleId="EMPTYCELLSTYLE" w:customStyle="1">
    <w:name w:val="EMPTY_CELL_STYLE"/>
    <w:qFormat/>
    <w:pPr>
      <w:widowControl/>
      <w:bidi w:val="0"/>
      <w:spacing w:before="0" w:after="0"/>
      <w:jc w:val="left"/>
    </w:pPr>
    <w:rPr>
      <w:rFonts w:eastAsia="Times New Roman" w:ascii="Times New Roman" w:hAnsi="Times New Roman" w:cs="Times New Roman"/>
      <w:color w:val="auto"/>
      <w:kern w:val="0"/>
      <w:sz w:val="1"/>
      <w:szCs w:val="20"/>
      <w:lang w:val="pt-PT" w:eastAsia="pt-PT" w:bidi="ar-SA"/>
    </w:rPr>
  </w:style>
  <w:style w:type="paragraph" w:styleId="Cabealhodondice2" w:customStyle="1">
    <w:name w:val="Cabeçalho do Índice2"/>
    <w:basedOn w:val="Heading1"/>
    <w:next w:val="Normal"/>
    <w:uiPriority w:val="39"/>
    <w:unhideWhenUsed/>
    <w:qFormat/>
    <w:pPr>
      <w:spacing w:lineRule="auto" w:line="259" w:before="240" w:after="0"/>
      <w:outlineLvl w:val="9"/>
    </w:pPr>
    <w:rPr>
      <w:b w:val="false"/>
      <w:bCs w:val="false"/>
      <w:sz w:val="32"/>
      <w:szCs w:val="32"/>
      <w:lang w:eastAsia="pt-PT"/>
    </w:rPr>
  </w:style>
  <w:style w:type="paragraph" w:styleId="CabealhodoSumrio1" w:customStyle="1">
    <w:name w:val="Cabeçalho do Sumário1"/>
    <w:basedOn w:val="Heading1"/>
    <w:next w:val="Normal"/>
    <w:uiPriority w:val="39"/>
    <w:unhideWhenUsed/>
    <w:qFormat/>
    <w:pPr>
      <w:spacing w:lineRule="auto" w:line="259" w:before="240" w:after="0"/>
      <w:outlineLvl w:val="9"/>
    </w:pPr>
    <w:rPr>
      <w:b w:val="false"/>
      <w:bCs w:val="false"/>
      <w:sz w:val="32"/>
      <w:szCs w:val="32"/>
      <w:lang w:eastAsia="pt-PT"/>
    </w:rPr>
  </w:style>
  <w:style w:type="paragraph" w:styleId="CabealhodoSumrio2" w:customStyle="1">
    <w:name w:val="Cabeçalho do Sumário2"/>
    <w:basedOn w:val="Heading1"/>
    <w:next w:val="Normal"/>
    <w:uiPriority w:val="39"/>
    <w:unhideWhenUsed/>
    <w:qFormat/>
    <w:pPr>
      <w:spacing w:lineRule="auto" w:line="259" w:before="240" w:after="0"/>
      <w:outlineLvl w:val="9"/>
    </w:pPr>
    <w:rPr>
      <w:b w:val="false"/>
      <w:bCs w:val="false"/>
      <w:sz w:val="32"/>
      <w:szCs w:val="32"/>
      <w:lang w:eastAsia="pt-PT"/>
    </w:rPr>
  </w:style>
  <w:style w:type="paragraph" w:styleId="Cabealhodondice3" w:customStyle="1">
    <w:name w:val="Cabeçalho do Índice3"/>
    <w:basedOn w:val="Heading1"/>
    <w:next w:val="Normal"/>
    <w:uiPriority w:val="39"/>
    <w:unhideWhenUsed/>
    <w:qFormat/>
    <w:pPr>
      <w:spacing w:lineRule="auto" w:line="259" w:before="240" w:after="0"/>
      <w:outlineLvl w:val="9"/>
    </w:pPr>
    <w:rPr>
      <w:b w:val="false"/>
      <w:bCs w:val="false"/>
      <w:sz w:val="32"/>
      <w:szCs w:val="32"/>
      <w:lang w:eastAsia="pt-PT"/>
    </w:rPr>
  </w:style>
  <w:style w:type="paragraph" w:styleId="Ttulodondice2" w:customStyle="1">
    <w:name w:val="Título do Índice2"/>
    <w:basedOn w:val="Heading1"/>
    <w:next w:val="Normal"/>
    <w:uiPriority w:val="39"/>
    <w:unhideWhenUsed/>
    <w:qFormat/>
    <w:pPr>
      <w:spacing w:lineRule="auto" w:line="259" w:before="240" w:after="0"/>
      <w:outlineLvl w:val="9"/>
    </w:pPr>
    <w:rPr>
      <w:b w:val="false"/>
      <w:bCs w:val="false"/>
      <w:sz w:val="32"/>
      <w:szCs w:val="32"/>
      <w:lang w:eastAsia="pt-PT"/>
    </w:rPr>
  </w:style>
  <w:style w:type="paragraph" w:styleId="Cabealhodondice4" w:customStyle="1">
    <w:name w:val="Cabeçalho do Índice4"/>
    <w:basedOn w:val="Heading1"/>
    <w:next w:val="Normal"/>
    <w:uiPriority w:val="39"/>
    <w:unhideWhenUsed/>
    <w:qFormat/>
    <w:pPr>
      <w:spacing w:lineRule="auto" w:line="259" w:before="240" w:after="0"/>
      <w:outlineLvl w:val="9"/>
    </w:pPr>
    <w:rPr>
      <w:b w:val="false"/>
      <w:bCs w:val="false"/>
      <w:sz w:val="32"/>
      <w:szCs w:val="32"/>
      <w:lang w:eastAsia="pt-PT"/>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
    <w:name w:val="Tabela com grelha3"/>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1">
    <w:name w:val="Tabela com grade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2">
    <w:name w:val="Tabela com grade2"/>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5">
    <w:name w:val="Tabela com grade5"/>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3">
    <w:name w:val="Tabela com grade3"/>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4">
    <w:name w:val="Tabela com grade4"/>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21">
    <w:name w:val="Tabela com grade2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2">
    <w:name w:val="Tabela com grelha2"/>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1">
    <w:name w:val="Tabela com grelha31"/>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2">
    <w:name w:val="Tabela com grelha32"/>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1">
    <w:name w:val="Tabela com grelha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Normal">
    <w:name w:val="Table Normal"/>
    <w:uiPriority w:val="2"/>
    <w:semiHidden/>
    <w:unhideWhenUsed/>
    <w:qFormat/>
    <w:rPr>
      <w:lang w:val="en-US"/>
    </w:rPr>
    <w:tblPr>
      <w:tblCellMar>
        <w:top w:w="0" w:type="dxa"/>
        <w:left w:w="0" w:type="dxa"/>
        <w:bottom w:w="0" w:type="dxa"/>
        <w:right w:w="0" w:type="dxa"/>
      </w:tblCellMar>
    </w:tblPr>
  </w:style>
  <w:style w:type="table" w:customStyle="1" w:styleId="Tabelacomgrelha21">
    <w:name w:val="Tabela com grelha2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3">
    <w:name w:val="Tabela com grelha33"/>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11">
    <w:name w:val="Tabela com grade1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11">
    <w:name w:val="Tabela com grelha311"/>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21">
    <w:name w:val="Tabela com grelha321"/>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11">
    <w:name w:val="Tabela com grelha1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22">
    <w:name w:val="Tabela com grade22"/>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Normal1">
    <w:name w:val="Table Normal1"/>
    <w:uiPriority w:val="2"/>
    <w:semiHidden/>
    <w:unhideWhenUsed/>
    <w:qFormat/>
    <w:rPr>
      <w:lang w:val="en-US"/>
    </w:rPr>
    <w:tblPr>
      <w:tblCellMar>
        <w:top w:w="0" w:type="dxa"/>
        <w:left w:w="0" w:type="dxa"/>
        <w:bottom w:w="0" w:type="dxa"/>
        <w:right w:w="0" w:type="dxa"/>
      </w:tblCellMar>
    </w:tblPr>
  </w:style>
  <w:style w:type="table" w:customStyle="1" w:styleId="Tabelacomgrade31">
    <w:name w:val="Tabela com grade3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211">
    <w:name w:val="Tabela com grade21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41">
    <w:name w:val="Tabela com grade4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12">
    <w:name w:val="Tabela com grelha312"/>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Grid">
    <w:name w:val="TableGrid"/>
    <w:qFormat/>
    <w:rPr>
      <w:rFonts w:eastAsiaTheme="minorEastAsia"/>
    </w:rPr>
    <w:tblPr>
      <w:tblCellMar>
        <w:top w:w="0" w:type="dxa"/>
        <w:left w:w="0" w:type="dxa"/>
        <w:bottom w:w="0" w:type="dxa"/>
        <w:right w:w="0" w:type="dxa"/>
      </w:tblCellMar>
    </w:tblPr>
  </w:style>
  <w:style w:type="table" w:customStyle="1" w:styleId="Tabelacomgrelha313">
    <w:name w:val="Tabela com grelha313"/>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6">
    <w:name w:val="Tabela com grade6"/>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4">
    <w:name w:val="Tabela com grelha34"/>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12">
    <w:name w:val="Tabela com grade12"/>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23">
    <w:name w:val="Tabela com grade23"/>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51">
    <w:name w:val="Tabela com grade5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32">
    <w:name w:val="Tabela com grade32"/>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42">
    <w:name w:val="Tabela com grade42"/>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212">
    <w:name w:val="Tabela com grade212"/>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22">
    <w:name w:val="Tabela com grelha22"/>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14">
    <w:name w:val="Tabela com grelha314"/>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22">
    <w:name w:val="Tabela com grelha322"/>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12">
    <w:name w:val="Tabela com grelha12"/>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Normal2">
    <w:name w:val="Table Normal2"/>
    <w:uiPriority w:val="2"/>
    <w:semiHidden/>
    <w:unhideWhenUsed/>
    <w:qFormat/>
    <w:rPr>
      <w:lang w:val="en-US"/>
    </w:rPr>
    <w:tblPr>
      <w:tblCellMar>
        <w:top w:w="0" w:type="dxa"/>
        <w:left w:w="0" w:type="dxa"/>
        <w:bottom w:w="0" w:type="dxa"/>
        <w:right w:w="0" w:type="dxa"/>
      </w:tblCellMar>
    </w:tblPr>
  </w:style>
  <w:style w:type="table" w:customStyle="1" w:styleId="Tabelacomgrelha211">
    <w:name w:val="Tabela com grelha21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31">
    <w:name w:val="Tabela com grelha331"/>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111">
    <w:name w:val="Tabela com grade11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111">
    <w:name w:val="Tabela com grelha3111"/>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211">
    <w:name w:val="Tabela com grelha3211"/>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111">
    <w:name w:val="Tabela com grelha11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221">
    <w:name w:val="Tabela com grade22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Normal11">
    <w:name w:val="Table Normal11"/>
    <w:uiPriority w:val="2"/>
    <w:semiHidden/>
    <w:unhideWhenUsed/>
    <w:qFormat/>
    <w:rPr>
      <w:lang w:val="en-US"/>
    </w:rPr>
    <w:tblPr>
      <w:tblCellMar>
        <w:top w:w="0" w:type="dxa"/>
        <w:left w:w="0" w:type="dxa"/>
        <w:bottom w:w="0" w:type="dxa"/>
        <w:right w:w="0" w:type="dxa"/>
      </w:tblCellMar>
    </w:tblPr>
  </w:style>
  <w:style w:type="table" w:customStyle="1" w:styleId="Tabelacomgrade311">
    <w:name w:val="Tabela com grade31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2111">
    <w:name w:val="Tabela com grade211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411">
    <w:name w:val="Tabela com grade411"/>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121">
    <w:name w:val="Tabela com grelha3121"/>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Grid1">
    <w:name w:val="TableGrid1"/>
    <w:qFormat/>
    <w:rPr>
      <w:rFonts w:eastAsiaTheme="minorEastAsia"/>
    </w:rPr>
    <w:tblPr>
      <w:tblCellMar>
        <w:top w:w="0" w:type="dxa"/>
        <w:left w:w="0" w:type="dxa"/>
        <w:bottom w:w="0" w:type="dxa"/>
        <w:right w:w="0" w:type="dxa"/>
      </w:tblCellMar>
    </w:tblPr>
  </w:style>
  <w:style w:type="table" w:customStyle="1" w:styleId="Tabelacomgrelha4">
    <w:name w:val="Tabela com grelha4"/>
    <w:basedOn w:val="Tabelanormal"/>
    <w:uiPriority w:val="59"/>
    <w:qForm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5">
    <w:name w:val="Tabela com grelha5"/>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23">
    <w:name w:val="Tabela com grelha23"/>
    <w:basedOn w:val="Tabela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7">
    <w:name w:val="Tabela com grade7"/>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6">
    <w:name w:val="Tabela com grelha6"/>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7">
    <w:name w:val="Tabela com grelha7"/>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8">
    <w:name w:val="Tabela com grelha8"/>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9">
    <w:name w:val="Tabela com grelha9"/>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10">
    <w:name w:val="Tabela com grelha10"/>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15">
    <w:name w:val="Tabela com grelha315"/>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24">
    <w:name w:val="Tabela com grade24"/>
    <w:basedOn w:val="Tabelanormal"/>
    <w:uiPriority w:val="59"/>
    <w:qFormat/>
    <w:rPr>
      <w:rFonts w:asciiTheme="minorHAnsi" w:hAnsiTheme="minorHAnsi" w:eastAsiaTheme="minorHAnsi" w:cstheme="minorBidi"/>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131">
    <w:name w:val="Tabela com grelha3131"/>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8">
    <w:name w:val="Tabela com grade8"/>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132">
    <w:name w:val="Tabela com grelha3132"/>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9">
    <w:name w:val="Tabela com grade9"/>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aconcuadrcula1">
    <w:name w:val="Tabla con cuadrícula1"/>
    <w:basedOn w:val="Tabelanormal"/>
    <w:uiPriority w:val="39"/>
    <w:qFormat/>
    <w:rPr>
      <w:rFonts w:asciiTheme="minorHAnsi" w:hAnsiTheme="minorHAnsi" w:cstheme="minorBidi"/>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3151">
    <w:name w:val="Tabela com grelha3151"/>
    <w:basedOn w:val="Tabelanormal"/>
    <w:uiPriority w:val="59"/>
    <w:qFormat/>
    <w:rPr>
      <w:rFonts w:asciiTheme="minorHAnsi" w:hAnsiTheme="minorHAnsi" w:cstheme="minorBidi"/>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13">
    <w:name w:val="Tabela com grelha13"/>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elha14">
    <w:name w:val="Tabela com grelha14"/>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81">
    <w:name w:val="Tabela com grade81"/>
    <w:basedOn w:val="Tabelanormal"/>
    <w:uiPriority w:val="59"/>
    <w:qFormat/>
    <w:rPr>
      <w:lang w:val="en-US"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SombreamentoClaro">
    <w:name w:val="Light Shading"/>
    <w:basedOn w:val="Tabelanormal"/>
    <w:uiPriority w:val="60"/>
    <w:qFormat/>
    <w:rPr>
      <w:rFonts w:asciiTheme="minorHAnsi" w:hAnsiTheme="minorHAnsi" w:eastAsiaTheme="minorEastAsia" w:cstheme="minorBidi"/>
      <w:lang w:val="en-US" w:eastAsia="en-US"/>
      <w:color w:themeColor="text1" w:themeShade="bf"/>
      <w:sz w:val="22"/>
      <w:szCs w:val="22"/>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qFormat/>
    <w:rPr>
      <w:rFonts w:asciiTheme="minorHAnsi" w:hAnsiTheme="minorHAnsi" w:eastAsiaTheme="minorEastAsia" w:cstheme="minorBidi"/>
      <w:lang w:val="en-US" w:eastAsia="en-US"/>
      <w:color w:themeColor="accent1" w:themeShade="bf"/>
      <w:sz w:val="22"/>
      <w:szCs w:val="22"/>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qFormat/>
    <w:rPr>
      <w:rFonts w:asciiTheme="minorHAnsi" w:hAnsiTheme="minorHAnsi" w:eastAsiaTheme="minorEastAsia" w:cstheme="minorBidi"/>
      <w:lang w:val="en-US" w:eastAsia="en-US"/>
      <w:color w:themeColor="accent2" w:themeShade="bf"/>
      <w:sz w:val="22"/>
      <w:szCs w:val="22"/>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qFormat/>
    <w:rPr>
      <w:rFonts w:asciiTheme="minorHAnsi" w:hAnsiTheme="minorHAnsi" w:eastAsiaTheme="minorEastAsia" w:cstheme="minorBidi"/>
      <w:lang w:val="en-US" w:eastAsia="en-US"/>
      <w:color w:themeColor="accent3" w:themeShade="bf"/>
      <w:sz w:val="22"/>
      <w:szCs w:val="22"/>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qFormat/>
    <w:rPr>
      <w:rFonts w:asciiTheme="minorHAnsi" w:hAnsiTheme="minorHAnsi" w:eastAsiaTheme="minorEastAsia" w:cstheme="minorBidi"/>
      <w:lang w:val="en-US" w:eastAsia="en-US"/>
      <w:color w:themeColor="accent4" w:themeShade="bf"/>
      <w:sz w:val="22"/>
      <w:szCs w:val="22"/>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qFormat/>
    <w:rPr>
      <w:rFonts w:asciiTheme="minorHAnsi" w:hAnsiTheme="minorHAnsi" w:eastAsiaTheme="minorEastAsia" w:cstheme="minorBidi"/>
      <w:lang w:val="en-US" w:eastAsia="en-US"/>
      <w:color w:themeColor="accent5" w:themeShade="bf"/>
      <w:sz w:val="22"/>
      <w:szCs w:val="22"/>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qFormat/>
    <w:rPr>
      <w:rFonts w:asciiTheme="minorHAnsi" w:hAnsiTheme="minorHAnsi" w:eastAsiaTheme="minorEastAsia" w:cstheme="minorBidi"/>
      <w:lang w:val="en-US" w:eastAsia="en-US"/>
      <w:color w:themeColor="accent6" w:themeShade="bf"/>
      <w:sz w:val="22"/>
      <w:szCs w:val="22"/>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qFormat/>
    <w:rPr>
      <w:rFonts w:asciiTheme="minorHAnsi" w:hAnsiTheme="minorHAnsi" w:eastAsiaTheme="minorEastAsia" w:cstheme="minorBidi"/>
      <w:lang w:val="en-US" w:eastAsia="en-US"/>
      <w:sz w:val="22"/>
      <w:szCs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qFormat/>
    <w:rPr>
      <w:rFonts w:asciiTheme="minorHAnsi" w:hAnsiTheme="minorHAnsi" w:eastAsiaTheme="minorEastAsia" w:cstheme="minorBidi"/>
      <w:lang w:val="en-US" w:eastAsia="en-US"/>
      <w:sz w:val="22"/>
      <w:szCs w:val="22"/>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qFormat/>
    <w:rPr>
      <w:rFonts w:asciiTheme="minorHAnsi" w:hAnsiTheme="minorHAnsi" w:eastAsiaTheme="minorEastAsia" w:cstheme="minorBidi"/>
      <w:lang w:val="en-US" w:eastAsia="en-US"/>
      <w:sz w:val="22"/>
      <w:szCs w:val="22"/>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qFormat/>
    <w:rPr>
      <w:rFonts w:asciiTheme="minorHAnsi" w:hAnsiTheme="minorHAnsi" w:eastAsiaTheme="minorEastAsia" w:cstheme="minorBidi"/>
      <w:lang w:val="en-US" w:eastAsia="en-US"/>
      <w:sz w:val="22"/>
      <w:szCs w:val="22"/>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qFormat/>
    <w:rPr>
      <w:rFonts w:asciiTheme="minorHAnsi" w:hAnsiTheme="minorHAnsi" w:eastAsiaTheme="minorEastAsia" w:cstheme="minorBidi"/>
      <w:lang w:val="en-US" w:eastAsia="en-US"/>
      <w:sz w:val="22"/>
      <w:szCs w:val="22"/>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qFormat/>
    <w:rPr>
      <w:rFonts w:asciiTheme="minorHAnsi" w:hAnsiTheme="minorHAnsi" w:eastAsiaTheme="minorEastAsia" w:cstheme="minorBidi"/>
      <w:lang w:val="en-US" w:eastAsia="en-US"/>
      <w:sz w:val="22"/>
      <w:szCs w:val="22"/>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qFormat/>
    <w:rPr>
      <w:rFonts w:asciiTheme="minorHAnsi" w:hAnsiTheme="minorHAnsi" w:eastAsiaTheme="minorEastAsia" w:cstheme="minorBidi"/>
      <w:lang w:val="en-US" w:eastAsia="en-US"/>
      <w:sz w:val="22"/>
      <w:szCs w:val="22"/>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qFormat/>
    <w:rPr>
      <w:rFonts w:asciiTheme="minorHAnsi" w:hAnsiTheme="minorHAnsi" w:eastAsiaTheme="minorEastAsia" w:cstheme="minorBidi"/>
      <w:lang w:val="en-US" w:eastAsia="en-US"/>
      <w:sz w:val="22"/>
      <w:szCs w:val="22"/>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auto"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auto"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auto" w:sz="8" w:space="0"/>
        </w:tcBorders>
      </w:tcPr>
    </w:tblStylePr>
  </w:style>
  <w:style w:type="table" w:styleId="GradeClara-nfase1">
    <w:name w:val="Light Grid Accent 1"/>
    <w:basedOn w:val="Tabelanormal"/>
    <w:uiPriority w:val="62"/>
    <w:qFormat/>
    <w:rPr>
      <w:rFonts w:asciiTheme="minorHAnsi" w:hAnsiTheme="minorHAnsi" w:eastAsiaTheme="minorEastAsia" w:cstheme="minorBidi"/>
      <w:lang w:val="en-US" w:eastAsia="en-US"/>
      <w:sz w:val="22"/>
      <w:szCs w:val="22"/>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auto"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auto"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auto" w:sz="8" w:space="0"/>
        </w:tcBorders>
      </w:tcPr>
    </w:tblStylePr>
  </w:style>
  <w:style w:type="table" w:styleId="GradeClara-nfase2">
    <w:name w:val="Light Grid Accent 2"/>
    <w:basedOn w:val="Tabelanormal"/>
    <w:uiPriority w:val="62"/>
    <w:qFormat/>
    <w:rPr>
      <w:rFonts w:asciiTheme="minorHAnsi" w:hAnsiTheme="minorHAnsi" w:eastAsiaTheme="minorEastAsia" w:cstheme="minorBidi"/>
      <w:lang w:val="en-US" w:eastAsia="en-US"/>
      <w:sz w:val="22"/>
      <w:szCs w:val="22"/>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auto"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auto"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auto" w:sz="8" w:space="0"/>
        </w:tcBorders>
      </w:tcPr>
    </w:tblStylePr>
  </w:style>
  <w:style w:type="table" w:styleId="GradeClara-nfase3">
    <w:name w:val="Light Grid Accent 3"/>
    <w:basedOn w:val="Tabelanormal"/>
    <w:uiPriority w:val="62"/>
    <w:qFormat/>
    <w:rPr>
      <w:rFonts w:asciiTheme="minorHAnsi" w:hAnsiTheme="minorHAnsi" w:eastAsiaTheme="minorEastAsia" w:cstheme="minorBidi"/>
      <w:lang w:val="en-US" w:eastAsia="en-US"/>
      <w:sz w:val="22"/>
      <w:szCs w:val="22"/>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auto"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auto"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auto" w:sz="8" w:space="0"/>
        </w:tcBorders>
      </w:tcPr>
    </w:tblStylePr>
  </w:style>
  <w:style w:type="table" w:styleId="GradeClara-nfase4">
    <w:name w:val="Light Grid Accent 4"/>
    <w:basedOn w:val="Tabelanormal"/>
    <w:uiPriority w:val="62"/>
    <w:qFormat/>
    <w:rPr>
      <w:rFonts w:asciiTheme="minorHAnsi" w:hAnsiTheme="minorHAnsi" w:eastAsiaTheme="minorEastAsia" w:cstheme="minorBidi"/>
      <w:lang w:val="en-US" w:eastAsia="en-US"/>
      <w:sz w:val="22"/>
      <w:szCs w:val="22"/>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auto"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auto"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auto" w:sz="8" w:space="0"/>
        </w:tcBorders>
      </w:tcPr>
    </w:tblStylePr>
  </w:style>
  <w:style w:type="table" w:styleId="GradeClara-nfase5">
    <w:name w:val="Light Grid Accent 5"/>
    <w:basedOn w:val="Tabelanormal"/>
    <w:uiPriority w:val="62"/>
    <w:qFormat/>
    <w:rPr>
      <w:rFonts w:asciiTheme="minorHAnsi" w:hAnsiTheme="minorHAnsi" w:eastAsiaTheme="minorEastAsia" w:cstheme="minorBidi"/>
      <w:lang w:val="en-US" w:eastAsia="en-US"/>
      <w:sz w:val="22"/>
      <w:szCs w:val="22"/>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auto"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auto"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auto" w:sz="8" w:space="0"/>
        </w:tcBorders>
      </w:tcPr>
    </w:tblStylePr>
  </w:style>
  <w:style w:type="table" w:styleId="GradeClara-nfase6">
    <w:name w:val="Light Grid Accent 6"/>
    <w:basedOn w:val="Tabelanormal"/>
    <w:uiPriority w:val="62"/>
    <w:qFormat/>
    <w:rPr>
      <w:rFonts w:asciiTheme="minorHAnsi" w:hAnsiTheme="minorHAnsi" w:eastAsiaTheme="minorEastAsia" w:cstheme="minorBidi"/>
      <w:lang w:val="en-US" w:eastAsia="en-US"/>
      <w:sz w:val="22"/>
      <w:szCs w:val="22"/>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auto"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auto"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auto" w:sz="8" w:space="0"/>
        </w:tcBorders>
      </w:tcPr>
    </w:tblStylePr>
  </w:style>
  <w:style w:type="table" w:styleId="SombreamentoMdio1">
    <w:name w:val="Medium Shading 1"/>
    <w:basedOn w:val="Tabelanormal"/>
    <w:uiPriority w:val="63"/>
    <w:qFormat/>
    <w:rPr>
      <w:rFonts w:asciiTheme="minorHAnsi" w:hAnsiTheme="minorHAnsi" w:eastAsiaTheme="minorEastAsia" w:cstheme="minorBidi"/>
      <w:lang w:val="en-US" w:eastAsia="en-US"/>
      <w:sz w:val="22"/>
      <w:szCs w:val="22"/>
    </w:rPr>
    <w:tblP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qFormat/>
    <w:rPr>
      <w:rFonts w:asciiTheme="minorHAnsi" w:hAnsiTheme="minorHAnsi" w:eastAsiaTheme="minorEastAsia" w:cstheme="minorBidi"/>
      <w:lang w:val="en-US" w:eastAsia="en-US"/>
      <w:sz w:val="22"/>
      <w:szCs w:val="22"/>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qFormat/>
    <w:rPr>
      <w:rFonts w:asciiTheme="minorHAnsi" w:hAnsiTheme="minorHAnsi" w:eastAsiaTheme="minorEastAsia" w:cstheme="minorBidi"/>
      <w:lang w:val="en-US" w:eastAsia="en-US"/>
      <w:sz w:val="22"/>
      <w:szCs w:val="22"/>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qFormat/>
    <w:rPr>
      <w:rFonts w:asciiTheme="minorHAnsi" w:hAnsiTheme="minorHAnsi" w:eastAsiaTheme="minorEastAsia" w:cstheme="minorBidi"/>
      <w:lang w:val="en-US" w:eastAsia="en-US"/>
      <w:sz w:val="22"/>
      <w:szCs w:val="22"/>
    </w:rPr>
    <w:tblP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qFormat/>
    <w:rPr>
      <w:rFonts w:asciiTheme="minorHAnsi" w:hAnsiTheme="minorHAnsi" w:eastAsiaTheme="minorEastAsia" w:cstheme="minorBidi"/>
      <w:lang w:val="en-US" w:eastAsia="en-US"/>
      <w:sz w:val="22"/>
      <w:szCs w:val="22"/>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qFormat/>
    <w:rPr>
      <w:rFonts w:asciiTheme="minorHAnsi" w:hAnsiTheme="minorHAnsi" w:eastAsiaTheme="minorEastAsia" w:cstheme="minorBidi"/>
      <w:lang w:val="en-US" w:eastAsia="en-US"/>
      <w:sz w:val="22"/>
      <w:szCs w:val="22"/>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qFormat/>
    <w:rPr>
      <w:rFonts w:asciiTheme="minorHAnsi" w:hAnsiTheme="minorHAnsi" w:eastAsiaTheme="minorEastAsia" w:cstheme="minorBidi"/>
      <w:lang w:val="en-US" w:eastAsia="en-US"/>
      <w:sz w:val="22"/>
      <w:szCs w:val="22"/>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qFormat/>
    <w:rPr>
      <w:rFonts w:asciiTheme="minorHAnsi" w:hAnsiTheme="minorHAnsi" w:eastAsiaTheme="minorEastAsia" w:cstheme="minorBidi"/>
      <w:lang w:val="en-US" w:eastAsia="en-US"/>
      <w:sz w:val="22"/>
      <w:szCs w:val="22"/>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qFormat/>
    <w:rPr>
      <w:rFonts w:asciiTheme="minorHAnsi" w:hAnsiTheme="minorHAnsi" w:eastAsiaTheme="minorEastAsia" w:cstheme="minorBidi"/>
      <w:lang w:val="en-US" w:eastAsia="en-US"/>
      <w:sz w:val="22"/>
      <w:szCs w:val="22"/>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qFormat/>
    <w:rPr>
      <w:rFonts w:asciiTheme="minorHAnsi" w:hAnsiTheme="minorHAnsi" w:eastAsiaTheme="minorEastAsia" w:cstheme="minorBidi"/>
      <w:lang w:val="en-US" w:eastAsia="en-US"/>
      <w:sz w:val="22"/>
      <w:szCs w:val="22"/>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qFormat/>
    <w:rPr>
      <w:rFonts w:asciiTheme="minorHAnsi" w:hAnsiTheme="minorHAnsi" w:eastAsiaTheme="minorEastAsia" w:cstheme="minorBidi"/>
      <w:lang w:val="en-US" w:eastAsia="en-US"/>
      <w:sz w:val="22"/>
      <w:szCs w:val="22"/>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qFormat/>
    <w:rPr>
      <w:rFonts w:asciiTheme="minorHAnsi" w:hAnsiTheme="minorHAnsi" w:eastAsiaTheme="minorEastAsia" w:cstheme="minorBidi"/>
      <w:lang w:val="en-US" w:eastAsia="en-US"/>
      <w:sz w:val="22"/>
      <w:szCs w:val="22"/>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qFormat/>
    <w:rPr>
      <w:rFonts w:asciiTheme="minorHAnsi" w:hAnsiTheme="minorHAnsi" w:eastAsiaTheme="minorEastAsia" w:cstheme="minorBidi"/>
      <w:lang w:val="en-US" w:eastAsia="en-US"/>
      <w:sz w:val="22"/>
      <w:szCs w:val="22"/>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qFormat/>
    <w:rPr>
      <w:rFonts w:asciiTheme="minorHAnsi" w:hAnsiTheme="minorHAnsi" w:eastAsiaTheme="minorEastAsia" w:cstheme="minorBidi"/>
      <w:lang w:val="en-US" w:eastAsia="en-US"/>
      <w:sz w:val="22"/>
      <w:szCs w:val="22"/>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qFormat/>
    <w:rPr>
      <w:rFonts w:asciiTheme="minorHAnsi" w:hAnsiTheme="minorHAnsi" w:eastAsiaTheme="minorEastAsia" w:cstheme="minorBidi"/>
      <w:lang w:val="en-US" w:eastAsia="en-US"/>
      <w:color w:themeColor="text1"/>
      <w:sz w:val="22"/>
      <w:szCs w:val="22"/>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qFormat/>
    <w:rPr>
      <w:rFonts w:asciiTheme="minorHAnsi" w:hAnsiTheme="minorHAnsi" w:eastAsiaTheme="minorEastAsia" w:cstheme="minorBidi"/>
      <w:lang w:val="en-US" w:eastAsia="en-US"/>
      <w:color w:themeColor="text1"/>
      <w:sz w:val="22"/>
      <w:szCs w:val="22"/>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qFormat/>
    <w:rPr>
      <w:rFonts w:asciiTheme="minorHAnsi" w:hAnsiTheme="minorHAnsi" w:eastAsiaTheme="minorEastAsia" w:cstheme="minorBidi"/>
      <w:lang w:val="en-US" w:eastAsia="en-US"/>
      <w:color w:themeColor="text1"/>
      <w:sz w:val="22"/>
      <w:szCs w:val="22"/>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qFormat/>
    <w:rPr>
      <w:rFonts w:asciiTheme="minorHAnsi" w:hAnsiTheme="minorHAnsi" w:eastAsiaTheme="minorEastAsia" w:cstheme="minorBidi"/>
      <w:lang w:val="en-US" w:eastAsia="en-US"/>
      <w:color w:themeColor="text1"/>
      <w:sz w:val="22"/>
      <w:szCs w:val="22"/>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qFormat/>
    <w:rPr>
      <w:rFonts w:asciiTheme="minorHAnsi" w:hAnsiTheme="minorHAnsi" w:eastAsiaTheme="minorEastAsia" w:cstheme="minorBidi"/>
      <w:lang w:val="en-US" w:eastAsia="en-US"/>
      <w:color w:themeColor="text1"/>
      <w:sz w:val="22"/>
      <w:szCs w:val="22"/>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qFormat/>
    <w:rPr>
      <w:rFonts w:asciiTheme="minorHAnsi" w:hAnsiTheme="minorHAnsi" w:eastAsiaTheme="minorEastAsia" w:cstheme="minorBidi"/>
      <w:lang w:val="en-US" w:eastAsia="en-US"/>
      <w:color w:themeColor="text1"/>
      <w:sz w:val="22"/>
      <w:szCs w:val="22"/>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qFormat/>
    <w:rPr>
      <w:rFonts w:asciiTheme="minorHAnsi" w:hAnsiTheme="minorHAnsi" w:eastAsiaTheme="minorEastAsia" w:cstheme="minorBidi"/>
      <w:lang w:val="en-US" w:eastAsia="en-US"/>
      <w:color w:themeColor="text1"/>
      <w:sz w:val="22"/>
      <w:szCs w:val="22"/>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qFormat/>
    <w:rPr>
      <w:rFonts w:asciiTheme="majorHAnsi" w:hAnsiTheme="majorHAnsi" w:eastAsiaTheme="majorEastAsia" w:cstheme="majorBidi"/>
      <w:lang w:val="en-US" w:eastAsia="en-US"/>
      <w:color w:themeColor="text1"/>
      <w:sz w:val="22"/>
      <w:szCs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qFormat/>
    <w:rPr>
      <w:rFonts w:asciiTheme="majorHAnsi" w:hAnsiTheme="majorHAnsi" w:eastAsiaTheme="majorEastAsia" w:cstheme="majorBidi"/>
      <w:lang w:val="en-US" w:eastAsia="en-US"/>
      <w:color w:themeColor="text1"/>
      <w:sz w:val="22"/>
      <w:szCs w:val="22"/>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qFormat/>
    <w:rPr>
      <w:rFonts w:asciiTheme="majorHAnsi" w:hAnsiTheme="majorHAnsi" w:eastAsiaTheme="majorEastAsia" w:cstheme="majorBidi"/>
      <w:lang w:val="en-US" w:eastAsia="en-US"/>
      <w:color w:themeColor="text1"/>
      <w:sz w:val="22"/>
      <w:szCs w:val="22"/>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qFormat/>
    <w:rPr>
      <w:rFonts w:asciiTheme="majorHAnsi" w:hAnsiTheme="majorHAnsi" w:eastAsiaTheme="majorEastAsia" w:cstheme="majorBidi"/>
      <w:lang w:val="en-US" w:eastAsia="en-US"/>
      <w:color w:themeColor="text1"/>
      <w:sz w:val="22"/>
      <w:szCs w:val="22"/>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qFormat/>
    <w:rPr>
      <w:rFonts w:asciiTheme="majorHAnsi" w:hAnsiTheme="majorHAnsi" w:eastAsiaTheme="majorEastAsia" w:cstheme="majorBidi"/>
      <w:lang w:val="en-US" w:eastAsia="en-US"/>
      <w:color w:themeColor="text1"/>
      <w:sz w:val="22"/>
      <w:szCs w:val="22"/>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qFormat/>
    <w:rPr>
      <w:rFonts w:asciiTheme="majorHAnsi" w:hAnsiTheme="majorHAnsi" w:eastAsiaTheme="majorEastAsia" w:cstheme="majorBidi"/>
      <w:lang w:val="en-US" w:eastAsia="en-US"/>
      <w:color w:themeColor="text1"/>
      <w:sz w:val="22"/>
      <w:szCs w:val="22"/>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qFormat/>
    <w:rPr>
      <w:rFonts w:asciiTheme="majorHAnsi" w:hAnsiTheme="majorHAnsi" w:eastAsiaTheme="majorEastAsia" w:cstheme="majorBidi"/>
      <w:lang w:val="en-US" w:eastAsia="en-US"/>
      <w:color w:themeColor="text1"/>
      <w:sz w:val="22"/>
      <w:szCs w:val="22"/>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qFormat/>
    <w:rPr>
      <w:rFonts w:asciiTheme="minorHAnsi" w:hAnsiTheme="minorHAnsi" w:eastAsiaTheme="minorEastAsia" w:cstheme="minorBidi"/>
      <w:lang w:val="en-US" w:eastAsia="en-US"/>
      <w:sz w:val="22"/>
      <w:szCs w:val="22"/>
    </w:rPr>
    <w:tblP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qFormat/>
    <w:rPr>
      <w:rFonts w:asciiTheme="minorHAnsi" w:hAnsiTheme="minorHAnsi" w:eastAsiaTheme="minorEastAsia" w:cstheme="minorBidi"/>
      <w:lang w:val="en-US" w:eastAsia="en-US"/>
      <w:sz w:val="22"/>
      <w:szCs w:val="22"/>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qFormat/>
    <w:rPr>
      <w:rFonts w:asciiTheme="minorHAnsi" w:hAnsiTheme="minorHAnsi" w:eastAsiaTheme="minorEastAsia" w:cstheme="minorBidi"/>
      <w:lang w:val="en-US" w:eastAsia="en-US"/>
      <w:sz w:val="22"/>
      <w:szCs w:val="22"/>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qFormat/>
    <w:rPr>
      <w:rFonts w:asciiTheme="minorHAnsi" w:hAnsiTheme="minorHAnsi" w:eastAsiaTheme="minorEastAsia" w:cstheme="minorBidi"/>
      <w:lang w:val="en-US" w:eastAsia="en-US"/>
      <w:sz w:val="22"/>
      <w:szCs w:val="22"/>
    </w:rPr>
    <w:tblP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qFormat/>
    <w:rPr>
      <w:rFonts w:asciiTheme="minorHAnsi" w:hAnsiTheme="minorHAnsi" w:eastAsiaTheme="minorEastAsia" w:cstheme="minorBidi"/>
      <w:lang w:val="en-US" w:eastAsia="en-US"/>
      <w:sz w:val="22"/>
      <w:szCs w:val="22"/>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qFormat/>
    <w:rPr>
      <w:rFonts w:asciiTheme="minorHAnsi" w:hAnsiTheme="minorHAnsi" w:eastAsiaTheme="minorEastAsia" w:cstheme="minorBidi"/>
      <w:lang w:val="en-US" w:eastAsia="en-US"/>
      <w:sz w:val="22"/>
      <w:szCs w:val="22"/>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qFormat/>
    <w:rPr>
      <w:rFonts w:asciiTheme="minorHAnsi" w:hAnsiTheme="minorHAnsi" w:eastAsiaTheme="minorEastAsia" w:cstheme="minorBidi"/>
      <w:lang w:val="en-US" w:eastAsia="en-US"/>
      <w:sz w:val="22"/>
      <w:szCs w:val="22"/>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qFormat/>
    <w:rPr>
      <w:rFonts w:asciiTheme="majorHAnsi" w:hAnsiTheme="majorHAnsi" w:eastAsiaTheme="majorEastAsia" w:cstheme="majorBidi"/>
      <w:lang w:val="en-US" w:eastAsia="en-US"/>
      <w:color w:themeColor="text1"/>
      <w:sz w:val="22"/>
      <w:szCs w:val="22"/>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auto" w:sz="6" w:space="0"/>
          <w:insideV w:val="single" w:color="auto"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qFormat/>
    <w:rPr>
      <w:rFonts w:asciiTheme="majorHAnsi" w:hAnsiTheme="majorHAnsi" w:eastAsiaTheme="majorEastAsia" w:cstheme="majorBidi"/>
      <w:lang w:val="en-US" w:eastAsia="en-US"/>
      <w:color w:themeColor="text1"/>
      <w:sz w:val="22"/>
      <w:szCs w:val="22"/>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auto" w:sz="6" w:space="0"/>
          <w:insideV w:val="single" w:color="auto"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qFormat/>
    <w:rPr>
      <w:rFonts w:asciiTheme="majorHAnsi" w:hAnsiTheme="majorHAnsi" w:eastAsiaTheme="majorEastAsia" w:cstheme="majorBidi"/>
      <w:lang w:val="en-US" w:eastAsia="en-US"/>
      <w:color w:themeColor="text1"/>
      <w:sz w:val="22"/>
      <w:szCs w:val="22"/>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auto" w:sz="6" w:space="0"/>
          <w:insideV w:val="single" w:color="auto"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qFormat/>
    <w:rPr>
      <w:rFonts w:asciiTheme="majorHAnsi" w:hAnsiTheme="majorHAnsi" w:eastAsiaTheme="majorEastAsia" w:cstheme="majorBidi"/>
      <w:lang w:val="en-US" w:eastAsia="en-US"/>
      <w:color w:themeColor="text1"/>
      <w:sz w:val="22"/>
      <w:szCs w:val="22"/>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auto" w:sz="6" w:space="0"/>
          <w:insideV w:val="single" w:color="auto"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qFormat/>
    <w:rPr>
      <w:rFonts w:asciiTheme="majorHAnsi" w:hAnsiTheme="majorHAnsi" w:eastAsiaTheme="majorEastAsia" w:cstheme="majorBidi"/>
      <w:lang w:val="en-US" w:eastAsia="en-US"/>
      <w:color w:themeColor="text1"/>
      <w:sz w:val="22"/>
      <w:szCs w:val="22"/>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auto" w:sz="6" w:space="0"/>
          <w:insideV w:val="single" w:color="auto"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qFormat/>
    <w:rPr>
      <w:rFonts w:asciiTheme="majorHAnsi" w:hAnsiTheme="majorHAnsi" w:eastAsiaTheme="majorEastAsia" w:cstheme="majorBidi"/>
      <w:lang w:val="en-US" w:eastAsia="en-US"/>
      <w:color w:themeColor="text1"/>
      <w:sz w:val="22"/>
      <w:szCs w:val="22"/>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auto" w:sz="6" w:space="0"/>
          <w:insideV w:val="single" w:color="auto"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qFormat/>
    <w:rPr>
      <w:rFonts w:asciiTheme="majorHAnsi" w:hAnsiTheme="majorHAnsi" w:eastAsiaTheme="majorEastAsia" w:cstheme="majorBidi"/>
      <w:lang w:val="en-US" w:eastAsia="en-US"/>
      <w:color w:themeColor="text1"/>
      <w:sz w:val="22"/>
      <w:szCs w:val="22"/>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auto" w:sz="6" w:space="0"/>
          <w:insideV w:val="single" w:color="auto"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qFormat/>
    <w:rPr>
      <w:rFonts w:asciiTheme="minorHAnsi" w:hAnsiTheme="minorHAnsi" w:eastAsiaTheme="minorEastAsia" w:cstheme="minorBidi"/>
      <w:lang w:val="en-US" w:eastAsia="en-US"/>
      <w:sz w:val="22"/>
      <w:szCs w:val="22"/>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808080" w:themeFill="text1" w:themeFillTint="7f"/>
      </w:tcPr>
    </w:tblStylePr>
  </w:style>
  <w:style w:type="table" w:styleId="GradeMdia3-nfase1">
    <w:name w:val="Medium Grid 3 Accent 1"/>
    <w:basedOn w:val="Tabelanormal"/>
    <w:uiPriority w:val="69"/>
    <w:qFormat/>
    <w:rPr>
      <w:rFonts w:asciiTheme="minorHAnsi" w:hAnsiTheme="minorHAnsi" w:eastAsiaTheme="minorEastAsia" w:cstheme="minorBidi"/>
      <w:lang w:val="en-US" w:eastAsia="en-US"/>
      <w:sz w:val="22"/>
      <w:szCs w:val="22"/>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A7BFDE" w:themeFill="accent1" w:themeFillTint="7f"/>
      </w:tcPr>
    </w:tblStylePr>
  </w:style>
  <w:style w:type="table" w:styleId="GradeMdia3-nfase2">
    <w:name w:val="Medium Grid 3 Accent 2"/>
    <w:basedOn w:val="Tabelanormal"/>
    <w:uiPriority w:val="69"/>
    <w:qFormat/>
    <w:rPr>
      <w:rFonts w:asciiTheme="minorHAnsi" w:hAnsiTheme="minorHAnsi" w:eastAsiaTheme="minorEastAsia" w:cstheme="minorBidi"/>
      <w:lang w:val="en-US" w:eastAsia="en-US"/>
      <w:sz w:val="22"/>
      <w:szCs w:val="22"/>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DFA7A6" w:themeFill="accent2" w:themeFillTint="7f"/>
      </w:tcPr>
    </w:tblStylePr>
  </w:style>
  <w:style w:type="table" w:styleId="GradeMdia3-nfase3">
    <w:name w:val="Medium Grid 3 Accent 3"/>
    <w:basedOn w:val="Tabelanormal"/>
    <w:uiPriority w:val="69"/>
    <w:qFormat/>
    <w:rPr>
      <w:rFonts w:asciiTheme="minorHAnsi" w:hAnsiTheme="minorHAnsi" w:eastAsiaTheme="minorEastAsia" w:cstheme="minorBidi"/>
      <w:lang w:val="en-US" w:eastAsia="en-US"/>
      <w:sz w:val="22"/>
      <w:szCs w:val="22"/>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CDDDAC" w:themeFill="accent3" w:themeFillTint="7f"/>
      </w:tcPr>
    </w:tblStylePr>
  </w:style>
  <w:style w:type="table" w:styleId="GradeMdia3-nfase4">
    <w:name w:val="Medium Grid 3 Accent 4"/>
    <w:basedOn w:val="Tabelanormal"/>
    <w:uiPriority w:val="69"/>
    <w:qFormat/>
    <w:rPr>
      <w:rFonts w:asciiTheme="minorHAnsi" w:hAnsiTheme="minorHAnsi" w:eastAsiaTheme="minorEastAsia" w:cstheme="minorBidi"/>
      <w:lang w:val="en-US" w:eastAsia="en-US"/>
      <w:sz w:val="22"/>
      <w:szCs w:val="22"/>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BFB1D0" w:themeFill="accent4" w:themeFillTint="7f"/>
      </w:tcPr>
    </w:tblStylePr>
  </w:style>
  <w:style w:type="table" w:styleId="GradeMdia3-nfase5">
    <w:name w:val="Medium Grid 3 Accent 5"/>
    <w:basedOn w:val="Tabelanormal"/>
    <w:uiPriority w:val="69"/>
    <w:qFormat/>
    <w:rPr>
      <w:rFonts w:asciiTheme="minorHAnsi" w:hAnsiTheme="minorHAnsi" w:eastAsiaTheme="minorEastAsia" w:cstheme="minorBidi"/>
      <w:lang w:val="en-US" w:eastAsia="en-US"/>
      <w:sz w:val="22"/>
      <w:szCs w:val="22"/>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A5D5E2" w:themeFill="accent5" w:themeFillTint="7f"/>
      </w:tcPr>
    </w:tblStylePr>
  </w:style>
  <w:style w:type="table" w:styleId="GradeMdia3-nfase6">
    <w:name w:val="Medium Grid 3 Accent 6"/>
    <w:basedOn w:val="Tabelanormal"/>
    <w:uiPriority w:val="69"/>
    <w:qFormat/>
    <w:rPr>
      <w:rFonts w:asciiTheme="minorHAnsi" w:hAnsiTheme="minorHAnsi" w:eastAsiaTheme="minorEastAsia" w:cstheme="minorBidi"/>
      <w:lang w:val="en-US" w:eastAsia="en-US"/>
      <w:sz w:val="22"/>
      <w:szCs w:val="22"/>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FBCAA2" w:themeFill="accent6" w:themeFillTint="7f"/>
      </w:tcPr>
    </w:tblStylePr>
  </w:style>
  <w:style w:type="table" w:styleId="ListaEscura">
    <w:name w:val="Dark List"/>
    <w:basedOn w:val="Tabelanormal"/>
    <w:uiPriority w:val="70"/>
    <w:qFormat/>
    <w:rPr>
      <w:rFonts w:asciiTheme="minorHAnsi" w:hAnsiTheme="minorHAnsi" w:eastAsiaTheme="minorEastAsia" w:cstheme="minorBidi"/>
      <w:lang w:val="en-US" w:eastAsia="en-US"/>
      <w:color w:themeColor="background1"/>
      <w:sz w:val="22"/>
      <w:szCs w:val="22"/>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qFormat/>
    <w:rPr>
      <w:rFonts w:asciiTheme="minorHAnsi" w:hAnsiTheme="minorHAnsi" w:eastAsiaTheme="minorEastAsia" w:cstheme="minorBidi"/>
      <w:lang w:val="en-US" w:eastAsia="en-US"/>
      <w:color w:themeColor="background1"/>
      <w:sz w:val="22"/>
      <w:szCs w:val="22"/>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qFormat/>
    <w:rPr>
      <w:rFonts w:asciiTheme="minorHAnsi" w:hAnsiTheme="minorHAnsi" w:eastAsiaTheme="minorEastAsia" w:cstheme="minorBidi"/>
      <w:lang w:val="en-US" w:eastAsia="en-US"/>
      <w:color w:themeColor="background1"/>
      <w:sz w:val="22"/>
      <w:szCs w:val="22"/>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qFormat/>
    <w:rPr>
      <w:rFonts w:asciiTheme="minorHAnsi" w:hAnsiTheme="minorHAnsi" w:eastAsiaTheme="minorEastAsia" w:cstheme="minorBidi"/>
      <w:lang w:val="en-US" w:eastAsia="en-US"/>
      <w:color w:themeColor="background1"/>
      <w:sz w:val="22"/>
      <w:szCs w:val="22"/>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qFormat/>
    <w:rPr>
      <w:rFonts w:asciiTheme="minorHAnsi" w:hAnsiTheme="minorHAnsi" w:eastAsiaTheme="minorEastAsia" w:cstheme="minorBidi"/>
      <w:lang w:val="en-US" w:eastAsia="en-US"/>
      <w:color w:themeColor="background1"/>
      <w:sz w:val="22"/>
      <w:szCs w:val="22"/>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qFormat/>
    <w:rPr>
      <w:rFonts w:asciiTheme="minorHAnsi" w:hAnsiTheme="minorHAnsi" w:eastAsiaTheme="minorEastAsia" w:cstheme="minorBidi"/>
      <w:lang w:val="en-US" w:eastAsia="en-US"/>
      <w:color w:themeColor="background1"/>
      <w:sz w:val="22"/>
      <w:szCs w:val="22"/>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qFormat/>
    <w:rPr>
      <w:rFonts w:asciiTheme="minorHAnsi" w:hAnsiTheme="minorHAnsi" w:eastAsiaTheme="minorEastAsia" w:cstheme="minorBidi"/>
      <w:lang w:val="en-US" w:eastAsia="en-US"/>
      <w:color w:themeColor="background1"/>
      <w:sz w:val="22"/>
      <w:szCs w:val="22"/>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qFormat/>
    <w:rPr>
      <w:rFonts w:asciiTheme="minorHAnsi" w:hAnsiTheme="minorHAnsi" w:eastAsiaTheme="minorEastAsia" w:cstheme="minorBidi"/>
      <w:lang w:val="en-US" w:eastAsia="en-US"/>
      <w:color w:themeColor="text1"/>
      <w:sz w:val="22"/>
      <w:szCs w:val="22"/>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auto"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ombreamentoEscuro-nfase1">
    <w:name w:val="Colorful Shading Accent 1"/>
    <w:basedOn w:val="Tabelanormal"/>
    <w:uiPriority w:val="71"/>
    <w:qFormat/>
    <w:rPr>
      <w:rFonts w:asciiTheme="minorHAnsi" w:hAnsiTheme="minorHAnsi" w:eastAsiaTheme="minorEastAsia" w:cstheme="minorBidi"/>
      <w:lang w:val="en-US" w:eastAsia="en-US"/>
      <w:color w:themeColor="text1"/>
      <w:sz w:val="22"/>
      <w:szCs w:val="22"/>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auto"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ombreamentoColorido-nfase2">
    <w:name w:val="Colorful Shading Accent 2"/>
    <w:basedOn w:val="Tabelanormal"/>
    <w:uiPriority w:val="71"/>
    <w:qFormat/>
    <w:rPr>
      <w:rFonts w:asciiTheme="minorHAnsi" w:hAnsiTheme="minorHAnsi" w:eastAsiaTheme="minorEastAsia" w:cstheme="minorBidi"/>
      <w:lang w:val="en-US" w:eastAsia="en-US"/>
      <w:color w:themeColor="text1"/>
      <w:sz w:val="22"/>
      <w:szCs w:val="22"/>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auto"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ombreamentoColorido-nfase3">
    <w:name w:val="Colorful Shading Accent 3"/>
    <w:basedOn w:val="Tabelanormal"/>
    <w:uiPriority w:val="71"/>
    <w:qFormat/>
    <w:rPr>
      <w:rFonts w:asciiTheme="minorHAnsi" w:hAnsiTheme="minorHAnsi" w:eastAsiaTheme="minorEastAsia" w:cstheme="minorBidi"/>
      <w:lang w:val="en-US" w:eastAsia="en-US"/>
      <w:color w:themeColor="text1"/>
      <w:sz w:val="22"/>
      <w:szCs w:val="22"/>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auto"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qFormat/>
    <w:rPr>
      <w:rFonts w:asciiTheme="minorHAnsi" w:hAnsiTheme="minorHAnsi" w:eastAsiaTheme="minorEastAsia" w:cstheme="minorBidi"/>
      <w:lang w:val="en-US" w:eastAsia="en-US"/>
      <w:color w:themeColor="text1"/>
      <w:sz w:val="22"/>
      <w:szCs w:val="22"/>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auto"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ombreamentoColorido-nfase5">
    <w:name w:val="Colorful Shading Accent 5"/>
    <w:basedOn w:val="Tabelanormal"/>
    <w:uiPriority w:val="71"/>
    <w:qFormat/>
    <w:rPr>
      <w:rFonts w:asciiTheme="minorHAnsi" w:hAnsiTheme="minorHAnsi" w:eastAsiaTheme="minorEastAsia" w:cstheme="minorBidi"/>
      <w:lang w:val="en-US" w:eastAsia="en-US"/>
      <w:color w:themeColor="text1"/>
      <w:sz w:val="22"/>
      <w:szCs w:val="22"/>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auto"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ombreamentoColorido-nfase6">
    <w:name w:val="Colorful Shading Accent 6"/>
    <w:basedOn w:val="Tabelanormal"/>
    <w:uiPriority w:val="71"/>
    <w:qFormat/>
    <w:rPr>
      <w:rFonts w:asciiTheme="minorHAnsi" w:hAnsiTheme="minorHAnsi" w:eastAsiaTheme="minorEastAsia" w:cstheme="minorBidi"/>
      <w:lang w:val="en-US" w:eastAsia="en-US"/>
      <w:color w:themeColor="text1"/>
      <w:sz w:val="22"/>
      <w:szCs w:val="22"/>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auto"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aColorida">
    <w:name w:val="Colorful List"/>
    <w:basedOn w:val="Tabelanormal"/>
    <w:uiPriority w:val="72"/>
    <w:qFormat/>
    <w:rPr>
      <w:rFonts w:asciiTheme="minorHAnsi" w:hAnsiTheme="minorHAnsi" w:eastAsiaTheme="minorEastAsia" w:cstheme="minorBidi"/>
      <w:lang w:val="en-US" w:eastAsia="en-US"/>
      <w:color w:themeColor="text1"/>
      <w:sz w:val="22"/>
      <w:szCs w:val="22"/>
    </w:rPr>
    <w:tblPr>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qFormat/>
    <w:rPr>
      <w:rFonts w:asciiTheme="minorHAnsi" w:hAnsiTheme="minorHAnsi" w:eastAsiaTheme="minorEastAsia" w:cstheme="minorBidi"/>
      <w:lang w:val="en-US" w:eastAsia="en-US"/>
      <w:color w:themeColor="text1"/>
      <w:sz w:val="22"/>
      <w:szCs w:val="22"/>
    </w:rPr>
    <w:tblPr>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qFormat/>
    <w:rPr>
      <w:rFonts w:asciiTheme="minorHAnsi" w:hAnsiTheme="minorHAnsi" w:eastAsiaTheme="minorEastAsia" w:cstheme="minorBidi"/>
      <w:lang w:val="en-US" w:eastAsia="en-US"/>
      <w:color w:themeColor="text1"/>
      <w:sz w:val="22"/>
      <w:szCs w:val="22"/>
    </w:rPr>
    <w:tblPr>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qFormat/>
    <w:rPr>
      <w:rFonts w:asciiTheme="minorHAnsi" w:hAnsiTheme="minorHAnsi" w:eastAsiaTheme="minorEastAsia" w:cstheme="minorBidi"/>
      <w:lang w:val="en-US" w:eastAsia="en-US"/>
      <w:color w:themeColor="text1"/>
      <w:sz w:val="22"/>
      <w:szCs w:val="22"/>
    </w:rPr>
    <w:tblPr>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qFormat/>
    <w:rPr>
      <w:rFonts w:asciiTheme="minorHAnsi" w:hAnsiTheme="minorHAnsi" w:eastAsiaTheme="minorEastAsia" w:cstheme="minorBidi"/>
      <w:lang w:val="en-US" w:eastAsia="en-US"/>
      <w:color w:themeColor="text1"/>
      <w:sz w:val="22"/>
      <w:szCs w:val="22"/>
    </w:rPr>
    <w:tblPr>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qFormat/>
    <w:rPr>
      <w:rFonts w:asciiTheme="minorHAnsi" w:hAnsiTheme="minorHAnsi" w:eastAsiaTheme="minorEastAsia" w:cstheme="minorBidi"/>
      <w:lang w:val="en-US" w:eastAsia="en-US"/>
      <w:color w:themeColor="text1"/>
      <w:sz w:val="22"/>
      <w:szCs w:val="22"/>
    </w:rPr>
    <w:tblPr>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qFormat/>
    <w:rPr>
      <w:rFonts w:asciiTheme="minorHAnsi" w:hAnsiTheme="minorHAnsi" w:eastAsiaTheme="minorEastAsia" w:cstheme="minorBidi"/>
      <w:lang w:val="en-US" w:eastAsia="en-US"/>
      <w:color w:themeColor="text1"/>
      <w:sz w:val="22"/>
      <w:szCs w:val="22"/>
    </w:rPr>
    <w:tblPr>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qFormat/>
    <w:rPr>
      <w:rFonts w:asciiTheme="minorHAnsi" w:hAnsiTheme="minorHAnsi" w:eastAsiaTheme="minorEastAsia" w:cstheme="minorBidi"/>
      <w:lang w:val="en-US" w:eastAsia="en-US"/>
      <w:color w:themeColor="text1"/>
      <w:sz w:val="22"/>
      <w:szCs w:val="22"/>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qFormat/>
    <w:rPr>
      <w:rFonts w:asciiTheme="minorHAnsi" w:hAnsiTheme="minorHAnsi" w:eastAsiaTheme="minorEastAsia" w:cstheme="minorBidi"/>
      <w:lang w:val="en-US" w:eastAsia="en-US"/>
      <w:color w:themeColor="text1"/>
      <w:sz w:val="22"/>
      <w:szCs w:val="22"/>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qFormat/>
    <w:rPr>
      <w:rFonts w:asciiTheme="minorHAnsi" w:hAnsiTheme="minorHAnsi" w:eastAsiaTheme="minorEastAsia" w:cstheme="minorBidi"/>
      <w:lang w:val="en-US" w:eastAsia="en-US"/>
      <w:color w:themeColor="text1"/>
      <w:sz w:val="22"/>
      <w:szCs w:val="22"/>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qFormat/>
    <w:rPr>
      <w:rFonts w:asciiTheme="minorHAnsi" w:hAnsiTheme="minorHAnsi" w:eastAsiaTheme="minorEastAsia" w:cstheme="minorBidi"/>
      <w:lang w:val="en-US" w:eastAsia="en-US"/>
      <w:color w:themeColor="text1"/>
      <w:sz w:val="22"/>
      <w:szCs w:val="22"/>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qFormat/>
    <w:rPr>
      <w:rFonts w:asciiTheme="minorHAnsi" w:hAnsiTheme="minorHAnsi" w:eastAsiaTheme="minorEastAsia" w:cstheme="minorBidi"/>
      <w:lang w:val="en-US" w:eastAsia="en-US"/>
      <w:color w:themeColor="text1"/>
      <w:sz w:val="22"/>
      <w:szCs w:val="22"/>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qFormat/>
    <w:rPr>
      <w:rFonts w:asciiTheme="minorHAnsi" w:hAnsiTheme="minorHAnsi" w:eastAsiaTheme="minorEastAsia" w:cstheme="minorBidi"/>
      <w:lang w:val="en-US" w:eastAsia="en-US"/>
      <w:color w:themeColor="text1"/>
      <w:sz w:val="22"/>
      <w:szCs w:val="22"/>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qFormat/>
    <w:rPr>
      <w:rFonts w:asciiTheme="minorHAnsi" w:hAnsiTheme="minorHAnsi" w:eastAsiaTheme="minorEastAsia" w:cstheme="minorBidi"/>
      <w:lang w:val="en-US" w:eastAsia="en-US"/>
      <w:color w:themeColor="text1"/>
      <w:sz w:val="22"/>
      <w:szCs w:val="22"/>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elacomgrelha316">
    <w:name w:val="Tabela com grelha316"/>
    <w:basedOn w:val="Tabelanormal"/>
    <w:uiPriority w:val="5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elacomgrade91">
    <w:name w:val="Tabela com grade91"/>
    <w:basedOn w:val="Tabelanormal"/>
    <w:uiPriority w:val="39"/>
    <w:qFormat/>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hart" Target="charts/chart1.xml"/><Relationship Id="rId3" Type="http://schemas.openxmlformats.org/officeDocument/2006/relationships/chart" Target="charts/chart2.xml"/><Relationship Id="rId4" Type="http://schemas.openxmlformats.org/officeDocument/2006/relationships/chart" Target="charts/chart3.xml"/><Relationship Id="rId5" Type="http://schemas.openxmlformats.org/officeDocument/2006/relationships/chart" Target="charts/chart4.xml"/><Relationship Id="rId6" Type="http://schemas.openxmlformats.org/officeDocument/2006/relationships/chart" Target="charts/chart5.xml"/><Relationship Id="rId7" Type="http://schemas.openxmlformats.org/officeDocument/2006/relationships/chart" Target="charts/chart6.xml"/><Relationship Id="rId8" Type="http://schemas.openxmlformats.org/officeDocument/2006/relationships/chart" Target="charts/chart7.xml"/><Relationship Id="rId9" Type="http://schemas.openxmlformats.org/officeDocument/2006/relationships/chart" Target="charts/chart8.xml"/><Relationship Id="rId10" Type="http://schemas.openxmlformats.org/officeDocument/2006/relationships/chart" Target="charts/chart9.xml"/><Relationship Id="rId11" Type="http://schemas.openxmlformats.org/officeDocument/2006/relationships/chart" Target="charts/chart10.xml"/><Relationship Id="rId12" Type="http://schemas.openxmlformats.org/officeDocument/2006/relationships/chart" Target="charts/chart1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
</Relationships>
</file>

<file path=word/charts/_rels/chart1.xml.rels><?xml version="1.0" encoding="UTF-8"?>
<Relationships xmlns="http://schemas.openxmlformats.org/package/2006/relationships"><Relationship Id="rId1" Type="http://schemas.openxmlformats.org/officeDocument/2006/relationships/package" Target="../embeddings/Planilha_do_Microsoft_Excel1.xlsx"/>
</Relationships>
</file>

<file path=word/charts/_rels/chart2.xml.rels><?xml version="1.0" encoding="UTF-8"?>
<Relationships xmlns="http://schemas.openxmlformats.org/package/2006/relationships"><Relationship Id="rId1" Type="http://schemas.openxmlformats.org/officeDocument/2006/relationships/package" Target="../embeddings/Planilha_do_Microsoft_Excel2.xlsx"/>
</Relationships>
</file>

<file path=word/charts/_rels/chart3.xml.rels><?xml version="1.0" encoding="UTF-8"?>
<Relationships xmlns="http://schemas.openxmlformats.org/package/2006/relationships"><Relationship Id="rId1" Type="http://schemas.openxmlformats.org/officeDocument/2006/relationships/package" Target="../embeddings/Planilha_do_Microsoft_Excel3.xlsx"/>
</Relationships>
</file>

<file path=word/charts/_rels/chart4.xml.rels><?xml version="1.0" encoding="UTF-8"?>
<Relationships xmlns="http://schemas.openxmlformats.org/package/2006/relationships"><Relationship Id="rId1" Type="http://schemas.openxmlformats.org/officeDocument/2006/relationships/package" Target="../embeddings/Planilha_do_Microsoft_Excel4.xlsx"/>
</Relationships>
</file>

<file path=word/charts/_rels/chart5.xml.rels><?xml version="1.0" encoding="UTF-8"?>
<Relationships xmlns="http://schemas.openxmlformats.org/package/2006/relationships"><Relationship Id="rId1" Type="http://schemas.openxmlformats.org/officeDocument/2006/relationships/package" Target="../embeddings/Planilha_do_Microsoft_Excel5.xlsx"/>
</Relationships>
</file>

<file path=word/charts/_rels/chart6.xml.rels><?xml version="1.0" encoding="UTF-8"?>
<Relationships xmlns="http://schemas.openxmlformats.org/package/2006/relationships"><Relationship Id="rId1" Type="http://schemas.openxmlformats.org/officeDocument/2006/relationships/package" Target="../embeddings/Planilha_do_Microsoft_Excel6.xlsx"/>
</Relationships>
</file>

<file path=word/charts/_rels/chart7.xml.rels><?xml version="1.0" encoding="UTF-8"?>
<Relationships xmlns="http://schemas.openxmlformats.org/package/2006/relationships"><Relationship Id="rId1" Type="http://schemas.openxmlformats.org/officeDocument/2006/relationships/package" Target="../embeddings/Planilha_do_Microsoft_Excel7.xlsx"/>
</Relationships>
</file>

<file path=word/charts/_rels/chart9.xml.rels><?xml version="1.0" encoding="UTF-8"?>
<Relationships xmlns="http://schemas.openxmlformats.org/package/2006/relationships"><Relationship Id="rId1" Type="http://schemas.openxmlformats.org/officeDocument/2006/relationships/package" Target="../embeddings/Planilha_do_Microsoft_Excel8.xlsx"/>
</Relationships>
</file>

<file path=word/charts/_rels/chart11.xml.rels><?xml version="1.0" encoding="UTF-8"?>
<Relationships xmlns="http://schemas.openxmlformats.org/package/2006/relationships"><Relationship Id="rId1" Type="http://schemas.openxmlformats.org/officeDocument/2006/relationships/package" Target="../embeddings/Planilha_do_Microsoft_Excel9.xlsx"/>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0" lang="pt-PT" sz="1400" strike="noStrike" u="none">
                <a:solidFill>
                  <a:srgbClr val="000000"/>
                </a:solidFill>
                <a:uFillTx/>
                <a:latin typeface="Times New Roman"/>
              </a:rPr>
              <a:t>Tipos de Consulta Realizadas IONA</a:t>
            </a:r>
          </a:p>
        </c:rich>
      </c:tx>
      <c:overlay val="0"/>
      <c:spPr>
        <a:noFill/>
        <a:ln w="0">
          <a:noFill/>
        </a:ln>
      </c:spPr>
    </c:title>
    <c:autoTitleDeleted val="0"/>
    <c:plotArea>
      <c:barChart>
        <c:barDir val="col"/>
        <c:grouping val="clustered"/>
        <c:varyColors val="0"/>
        <c:ser>
          <c:idx val="0"/>
          <c:order val="0"/>
          <c:tx>
            <c:strRef>
              <c:f>label 0</c:f>
              <c:strCache>
                <c:ptCount val="1"/>
                <c:pt idx="0">
                  <c:v>Series1</c:v>
                </c:pt>
              </c:strCache>
            </c:strRef>
          </c:tx>
          <c:spPr>
            <a:solidFill>
              <a:srgbClr val="00b050"/>
            </a:solidFill>
            <a:ln w="0">
              <a:noFill/>
            </a:ln>
          </c:spPr>
          <c:invertIfNegative val="0"/>
          <c:dPt>
            <c:idx val="0"/>
            <c:invertIfNegative val="0"/>
            <c:spPr>
              <a:solidFill>
                <a:srgbClr val="00b050"/>
              </a:solidFill>
              <a:ln w="0">
                <a:noFill/>
              </a:ln>
            </c:spPr>
          </c:dPt>
          <c:dPt>
            <c:idx val="1"/>
            <c:invertIfNegative val="0"/>
            <c:spPr>
              <a:solidFill>
                <a:srgbClr val="00b050"/>
              </a:solidFill>
              <a:ln w="0">
                <a:noFill/>
              </a:ln>
            </c:spPr>
          </c:dPt>
          <c:dPt>
            <c:idx val="2"/>
            <c:invertIfNegative val="0"/>
            <c:spPr>
              <a:solidFill>
                <a:srgbClr val="00b050"/>
              </a:solidFill>
              <a:ln w="0">
                <a:noFill/>
              </a:ln>
            </c:spPr>
          </c:dPt>
          <c:dPt>
            <c:idx val="3"/>
            <c:invertIfNegative val="0"/>
            <c:spPr>
              <a:solidFill>
                <a:srgbClr val="00b050"/>
              </a:solidFill>
              <a:ln w="0">
                <a:noFill/>
              </a:ln>
            </c:spPr>
          </c:dPt>
          <c:dPt>
            <c:idx val="4"/>
            <c:invertIfNegative val="0"/>
            <c:spPr>
              <a:solidFill>
                <a:srgbClr val="00b050"/>
              </a:solidFill>
              <a:ln w="0">
                <a:noFill/>
              </a:ln>
            </c:spPr>
          </c:dPt>
          <c:dLbls>
            <c:numFmt formatCode="#,##0" sourceLinked="0"/>
            <c:dLbl>
              <c:idx val="0"/>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57%</a:t>
                    </a:r>
                  </a:p>
                </c:rich>
              </c:tx>
              <c:dLblPos val="outEnd"/>
              <c:showLegendKey val="0"/>
              <c:showVal val="0"/>
              <c:showCatName val="0"/>
              <c:showSerName val="0"/>
              <c:showPercent val="0"/>
              <c:separator>; </c:separator>
            </c:dLbl>
            <c:dLbl>
              <c:idx val="1"/>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29%</a:t>
                    </a:r>
                  </a:p>
                </c:rich>
              </c:tx>
              <c:dLblPos val="outEnd"/>
              <c:showLegendKey val="0"/>
              <c:showVal val="0"/>
              <c:showCatName val="0"/>
              <c:showSerName val="0"/>
              <c:showPercent val="0"/>
              <c:separator>; </c:separator>
            </c:dLbl>
            <c:dLbl>
              <c:idx val="2"/>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8%</a:t>
                    </a:r>
                  </a:p>
                </c:rich>
              </c:tx>
              <c:dLblPos val="outEnd"/>
              <c:showLegendKey val="0"/>
              <c:showVal val="0"/>
              <c:showCatName val="0"/>
              <c:showSerName val="0"/>
              <c:showPercent val="0"/>
              <c:separator>; </c:separator>
            </c:dLbl>
            <c:dLbl>
              <c:idx val="3"/>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6%</a:t>
                    </a:r>
                  </a:p>
                </c:rich>
              </c:tx>
              <c:dLblPos val="outEnd"/>
              <c:showLegendKey val="0"/>
              <c:showVal val="0"/>
              <c:showCatName val="0"/>
              <c:showSerName val="0"/>
              <c:showPercent val="0"/>
              <c:separator>; </c:separator>
            </c:dLbl>
            <c:dLbl>
              <c:idx val="4"/>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1%</a:t>
                    </a:r>
                  </a:p>
                </c:rich>
              </c:tx>
              <c:dLblPos val="outEnd"/>
              <c:showLegendKey val="0"/>
              <c:showVal val="0"/>
              <c:showCatName val="0"/>
              <c:showSerName val="0"/>
              <c:showPercent val="0"/>
              <c:separator>; </c:separator>
            </c:dLbl>
            <c:txPr>
              <a:bodyPr wrap="square"/>
              <a:lstStyle/>
              <a:p>
                <a:pPr>
                  <a:defRPr b="0" lang="pt-PT" sz="1200" strike="noStrike" u="none">
                    <a:solidFill>
                      <a:srgbClr val="000000"/>
                    </a:solidFill>
                    <a:uFillTx/>
                    <a:latin typeface="Times New Roman"/>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Oftalmologia</c:v>
                </c:pt>
                <c:pt idx="1">
                  <c:v>Urgência</c:v>
                </c:pt>
                <c:pt idx="2">
                  <c:v>Optometria</c:v>
                </c:pt>
                <c:pt idx="3">
                  <c:v>Consulta de Medicina Interna</c:v>
                </c:pt>
                <c:pt idx="4">
                  <c:v>Consulta de Anestesia</c:v>
                </c:pt>
              </c:strCache>
            </c:strRef>
          </c:cat>
          <c:val>
            <c:numRef>
              <c:f>0</c:f>
              <c:numCache>
                <c:formatCode>General</c:formatCode>
                <c:ptCount val="5"/>
                <c:pt idx="0">
                  <c:v>5050</c:v>
                </c:pt>
                <c:pt idx="1">
                  <c:v>2572</c:v>
                </c:pt>
                <c:pt idx="2">
                  <c:v>691</c:v>
                </c:pt>
                <c:pt idx="3">
                  <c:v>491</c:v>
                </c:pt>
                <c:pt idx="4">
                  <c:v>51</c:v>
                </c:pt>
              </c:numCache>
            </c:numRef>
          </c:val>
        </c:ser>
        <c:gapWidth val="219"/>
        <c:overlap val="-27"/>
        <c:axId val="70196476"/>
        <c:axId val="98572740"/>
      </c:barChart>
      <c:catAx>
        <c:axId val="70196476"/>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lang="pt-PT" sz="1100" strike="noStrike" u="none">
                <a:solidFill>
                  <a:srgbClr val="000000"/>
                </a:solidFill>
                <a:uFillTx/>
                <a:latin typeface="Times New Roman"/>
              </a:defRPr>
            </a:pPr>
          </a:p>
        </c:txPr>
        <c:crossAx val="98572740"/>
        <c:crosses val="autoZero"/>
        <c:auto val="1"/>
        <c:lblAlgn val="ctr"/>
        <c:lblOffset val="100"/>
        <c:noMultiLvlLbl val="0"/>
      </c:catAx>
      <c:valAx>
        <c:axId val="98572740"/>
        <c:scaling>
          <c:orientation val="minMax"/>
        </c:scaling>
        <c:delete val="1"/>
        <c:axPos val="l"/>
        <c:numFmt formatCode="#,##0" sourceLinked="1"/>
        <c:majorTickMark val="none"/>
        <c:minorTickMark val="none"/>
        <c:tickLblPos val="nextTo"/>
        <c:spPr>
          <a:ln w="9360">
            <a:solidFill>
              <a:srgbClr val="878787"/>
            </a:solidFill>
            <a:round/>
          </a:ln>
        </c:spPr>
        <c:txPr>
          <a:bodyPr/>
          <a:lstStyle/>
          <a:p>
            <a:pPr>
              <a:defRPr b="0" lang="pt-PT" sz="1000" strike="noStrike" u="none">
                <a:solidFill>
                  <a:srgbClr val="000000"/>
                </a:solidFill>
                <a:uFillTx/>
                <a:latin typeface="Calibri"/>
              </a:defRPr>
            </a:pPr>
          </a:p>
        </c:txPr>
        <c:crossAx val="70196476"/>
        <c:crossBetween val="between"/>
      </c:valAx>
      <c:spPr>
        <a:noFill/>
        <a:ln w="0">
          <a:noFill/>
        </a:ln>
      </c:spPr>
    </c:plotArea>
    <c:plotVisOnly val="1"/>
    <c:dispBlanksAs val="gap"/>
  </c:chart>
  <c:spPr>
    <a:solidFill>
      <a:srgbClr val="ffffff"/>
    </a:solidFill>
    <a:ln w="9360">
      <a:noFill/>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1" lang="pt-PT" sz="1400" strike="noStrike" u="none">
                <a:solidFill>
                  <a:srgbClr val="000000"/>
                </a:solidFill>
                <a:uFillTx/>
                <a:latin typeface="Times New Roman"/>
              </a:rPr>
              <a:t>Consultas</a:t>
            </a:r>
          </a:p>
        </c:rich>
      </c:tx>
      <c:overlay val="0"/>
      <c:spPr>
        <a:noFill/>
        <a:ln w="0">
          <a:noFill/>
        </a:ln>
      </c:spPr>
    </c:title>
    <c:autoTitleDeleted val="0"/>
    <c:plotArea>
      <c:layout>
        <c:manualLayout>
          <c:layoutTarget val="inner"/>
          <c:xMode val="edge"/>
          <c:yMode val="edge"/>
          <c:x val="0.012625"/>
          <c:y val="0.205666666666667"/>
          <c:w val="0.931125"/>
          <c:h val="0.645"/>
        </c:manualLayout>
      </c:layout>
      <c:barChart>
        <c:barDir val="col"/>
        <c:grouping val="clustered"/>
        <c:varyColors val="0"/>
        <c:ser>
          <c:idx val="0"/>
          <c:order val="0"/>
          <c:tx>
            <c:strRef>
              <c:f>label 0</c:f>
              <c:strCache>
                <c:ptCount val="1"/>
                <c:pt idx="0">
                  <c:v>Series1</c:v>
                </c:pt>
              </c:strCache>
            </c:strRef>
          </c:tx>
          <c:spPr>
            <a:solidFill>
              <a:srgbClr val="4f81bd"/>
            </a:solidFill>
            <a:ln w="0">
              <a:noFill/>
            </a:ln>
          </c:spPr>
          <c:invertIfNegative val="0"/>
          <c:dLbls>
            <c:numFmt formatCode="General" sourceLinked="0"/>
            <c:txPr>
              <a:bodyPr wrap="square"/>
              <a:lstStyle/>
              <a:p>
                <a:pPr>
                  <a:defRPr b="0" lang="pt-PT"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2"/>
                <c:pt idx="0">
                  <c:v>- 15 ANOS</c:v>
                </c:pt>
                <c:pt idx="1">
                  <c:v>+ 15 ANOS</c:v>
                </c:pt>
              </c:strCache>
            </c:strRef>
          </c:cat>
          <c:val>
            <c:numRef>
              <c:f>0</c:f>
              <c:numCache>
                <c:formatCode>General</c:formatCode>
                <c:ptCount val="2"/>
              </c:numCache>
            </c:numRef>
          </c:val>
        </c:ser>
        <c:ser>
          <c:idx val="1"/>
          <c:order val="1"/>
          <c:tx>
            <c:strRef>
              <c:f>label 1</c:f>
              <c:strCache>
                <c:ptCount val="1"/>
                <c:pt idx="0">
                  <c:v>Series2</c:v>
                </c:pt>
              </c:strCache>
            </c:strRef>
          </c:tx>
          <c:spPr>
            <a:solidFill>
              <a:srgbClr val="31859c"/>
            </a:solidFill>
            <a:ln w="0">
              <a:noFill/>
            </a:ln>
          </c:spPr>
          <c:invertIfNegative val="0"/>
          <c:dPt>
            <c:idx val="0"/>
            <c:invertIfNegative val="0"/>
            <c:spPr>
              <a:solidFill>
                <a:srgbClr val="31859c"/>
              </a:solidFill>
              <a:ln w="0">
                <a:noFill/>
              </a:ln>
            </c:spPr>
          </c:dPt>
          <c:dPt>
            <c:idx val="1"/>
            <c:invertIfNegative val="0"/>
            <c:spPr>
              <a:solidFill>
                <a:srgbClr val="31859c"/>
              </a:solidFill>
              <a:ln w="0">
                <a:noFill/>
              </a:ln>
            </c:spPr>
          </c:dPt>
          <c:dLbls>
            <c:numFmt formatCode="General" sourceLinked="0"/>
            <c:dLbl>
              <c:idx val="0"/>
              <c:layout>
                <c:manualLayout>
                  <c:x val="0"/>
                  <c:y val="-0.0317460317460317"/>
                </c:manualLayout>
              </c:layout>
              <c:txPr>
                <a:bodyPr wrap="square"/>
                <a:lstStyle/>
                <a:p>
                  <a:pPr>
                    <a:defRPr b="1" lang="pt-PT" sz="1100" strike="noStrike" u="none">
                      <a:solidFill>
                        <a:srgbClr val="000000"/>
                      </a:solidFill>
                      <a:uFillTx/>
                      <a:latin typeface="Times New Roman"/>
                    </a:defRPr>
                  </a:pPr>
                </a:p>
              </c:txPr>
              <c:tx>
                <c:rich>
                  <a:bodyPr/>
                  <a:p>
                    <a:r>
                      <a:rPr b="1" lang="pt-PT" sz="1100" strike="noStrike" u="none">
                        <a:solidFill>
                          <a:srgbClr val="000000"/>
                        </a:solidFill>
                        <a:uFillTx/>
                        <a:latin typeface="Times New Roman"/>
                      </a:rPr>
                      <a:t>20%</a:t>
                    </a:r>
                  </a:p>
                </c:rich>
              </c:tx>
              <c:dLblPos val="outEnd"/>
              <c:showLegendKey val="0"/>
              <c:showVal val="0"/>
              <c:showCatName val="0"/>
              <c:showSerName val="0"/>
              <c:showPercent val="0"/>
              <c:separator>; </c:separator>
            </c:dLbl>
            <c:dLbl>
              <c:idx val="1"/>
              <c:layout>
                <c:manualLayout>
                  <c:x val="-1.1422505637102E-016"/>
                  <c:y val="-0.0380952380952381"/>
                </c:manualLayout>
              </c:layout>
              <c:txPr>
                <a:bodyPr wrap="square"/>
                <a:lstStyle/>
                <a:p>
                  <a:pPr>
                    <a:defRPr b="1" lang="pt-PT" sz="1100" strike="noStrike" u="none">
                      <a:solidFill>
                        <a:srgbClr val="000000"/>
                      </a:solidFill>
                      <a:uFillTx/>
                      <a:latin typeface="Times New Roman"/>
                    </a:defRPr>
                  </a:pPr>
                </a:p>
              </c:txPr>
              <c:tx>
                <c:rich>
                  <a:bodyPr/>
                  <a:p>
                    <a:r>
                      <a:rPr b="1" lang="pt-PT" sz="1100" strike="noStrike" u="none">
                        <a:solidFill>
                          <a:srgbClr val="000000"/>
                        </a:solidFill>
                        <a:uFillTx/>
                        <a:latin typeface="Times New Roman"/>
                      </a:rPr>
                      <a:t>80%</a:t>
                    </a:r>
                  </a:p>
                </c:rich>
              </c:tx>
              <c:dLblPos val="outEnd"/>
              <c:showLegendKey val="0"/>
              <c:showVal val="0"/>
              <c:showCatName val="0"/>
              <c:showSerName val="0"/>
              <c:showPercent val="0"/>
              <c:separator>; </c:separator>
            </c:dLbl>
            <c:txPr>
              <a:bodyPr wrap="square"/>
              <a:lstStyle/>
              <a:p>
                <a:pPr>
                  <a:defRPr b="1" lang="pt-PT" sz="1100" strike="noStrike" u="none">
                    <a:solidFill>
                      <a:srgbClr val="000000"/>
                    </a:solidFill>
                    <a:uFillTx/>
                    <a:latin typeface="Times New Roman"/>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2"/>
                <c:pt idx="0">
                  <c:v>- 15 ANOS</c:v>
                </c:pt>
                <c:pt idx="1">
                  <c:v>+ 15 ANOS</c:v>
                </c:pt>
              </c:strCache>
            </c:strRef>
          </c:cat>
          <c:val>
            <c:numRef>
              <c:f>1</c:f>
              <c:numCache>
                <c:formatCode>General</c:formatCode>
                <c:ptCount val="2"/>
                <c:pt idx="0">
                  <c:v>1683</c:v>
                </c:pt>
                <c:pt idx="1">
                  <c:v>6630</c:v>
                </c:pt>
              </c:numCache>
            </c:numRef>
          </c:val>
        </c:ser>
        <c:gapWidth val="150"/>
        <c:overlap val="0"/>
        <c:axId val="20224967"/>
        <c:axId val="23782461"/>
      </c:barChart>
      <c:catAx>
        <c:axId val="20224967"/>
        <c:scaling>
          <c:orientation val="minMax"/>
        </c:scaling>
        <c:delete val="0"/>
        <c:axPos val="b"/>
        <c:numFmt formatCode="General" sourceLinked="0"/>
        <c:majorTickMark val="none"/>
        <c:minorTickMark val="none"/>
        <c:tickLblPos val="nextTo"/>
        <c:spPr>
          <a:ln w="9360">
            <a:noFill/>
          </a:ln>
        </c:spPr>
        <c:txPr>
          <a:bodyPr/>
          <a:lstStyle/>
          <a:p>
            <a:pPr>
              <a:defRPr b="1" lang="pt-PT" sz="1100" strike="noStrike" u="none">
                <a:solidFill>
                  <a:srgbClr val="000000"/>
                </a:solidFill>
                <a:uFillTx/>
                <a:latin typeface="Times New Roman"/>
              </a:defRPr>
            </a:pPr>
          </a:p>
        </c:txPr>
        <c:crossAx val="23782461"/>
        <c:crosses val="autoZero"/>
        <c:auto val="1"/>
        <c:lblAlgn val="ctr"/>
        <c:lblOffset val="100"/>
        <c:noMultiLvlLbl val="0"/>
      </c:catAx>
      <c:valAx>
        <c:axId val="23782461"/>
        <c:scaling>
          <c:orientation val="minMax"/>
        </c:scaling>
        <c:delete val="1"/>
        <c:axPos val="l"/>
        <c:numFmt formatCode="General" sourceLinked="1"/>
        <c:majorTickMark val="none"/>
        <c:minorTickMark val="none"/>
        <c:tickLblPos val="nextTo"/>
        <c:spPr>
          <a:ln w="9360">
            <a:solidFill>
              <a:srgbClr val="878787"/>
            </a:solidFill>
            <a:round/>
          </a:ln>
        </c:spPr>
        <c:txPr>
          <a:bodyPr/>
          <a:lstStyle/>
          <a:p>
            <a:pPr>
              <a:defRPr b="0" lang="pt-PT" sz="1000" strike="noStrike" u="none">
                <a:solidFill>
                  <a:srgbClr val="000000"/>
                </a:solidFill>
                <a:uFillTx/>
                <a:latin typeface="Calibri"/>
              </a:defRPr>
            </a:pPr>
          </a:p>
        </c:txPr>
        <c:crossAx val="20224967"/>
        <c:crossBetween val="between"/>
      </c:valAx>
      <c:spPr>
        <a:noFill/>
        <a:ln w="0">
          <a:noFill/>
        </a:ln>
      </c:spPr>
    </c:plotArea>
    <c:plotVisOnly val="1"/>
    <c:dispBlanksAs val="gap"/>
  </c:chart>
  <c:spPr>
    <a:solidFill>
      <a:srgbClr val="ffffff"/>
    </a:solidFill>
    <a:ln w="9360">
      <a:noFill/>
    </a:ln>
  </c:sp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1" lang="pt-PT" sz="1320" strike="noStrike" u="none">
                <a:solidFill>
                  <a:srgbClr val="000000"/>
                </a:solidFill>
                <a:uFillTx/>
                <a:latin typeface="Times New Roman"/>
              </a:rPr>
              <a:t>Faixa Etária</a:t>
            </a:r>
          </a:p>
        </c:rich>
      </c:tx>
      <c:overlay val="0"/>
      <c:spPr>
        <a:noFill/>
        <a:ln w="0">
          <a:noFill/>
        </a:ln>
      </c:spPr>
    </c:title>
    <c:autoTitleDeleted val="0"/>
    <c:plotArea>
      <c:pieChart>
        <c:varyColors val="1"/>
        <c:ser>
          <c:idx val="0"/>
          <c:order val="0"/>
          <c:tx>
            <c:strRef>
              <c:f>label 0</c:f>
              <c:strCache>
                <c:ptCount val="1"/>
                <c:pt idx="0">
                  <c:v>Series1</c:v>
                </c:pt>
              </c:strCache>
            </c:strRef>
          </c:tx>
          <c:spPr>
            <a:solidFill>
              <a:srgbClr val="4f81bd"/>
            </a:solidFill>
            <a:ln w="0">
              <a:noFill/>
            </a:ln>
          </c:spPr>
          <c:explosion val="0"/>
          <c:dPt>
            <c:idx val="0"/>
            <c:spPr>
              <a:gradFill>
                <a:gsLst>
                  <a:gs pos="0">
                    <a:srgbClr val="2e5f99"/>
                  </a:gs>
                  <a:gs pos="80000">
                    <a:srgbClr val="3c7ac7"/>
                  </a:gs>
                  <a:gs pos="100000">
                    <a:srgbClr val="397bca"/>
                  </a:gs>
                </a:gsLst>
                <a:lin ang="16200000"/>
              </a:gradFill>
              <a:ln w="0">
                <a:noFill/>
              </a:ln>
            </c:spPr>
          </c:dPt>
          <c:dPt>
            <c:idx val="1"/>
            <c:spPr>
              <a:gradFill>
                <a:gsLst>
                  <a:gs pos="0">
                    <a:srgbClr val="9c2f2c"/>
                  </a:gs>
                  <a:gs pos="80000">
                    <a:srgbClr val="cb3d39"/>
                  </a:gs>
                  <a:gs pos="100000">
                    <a:srgbClr val="ce3a36"/>
                  </a:gs>
                </a:gsLst>
                <a:lin ang="16200000"/>
              </a:gradFill>
              <a:ln w="0">
                <a:noFill/>
              </a:ln>
            </c:spPr>
          </c:dPt>
          <c:dPt>
            <c:idx val="2"/>
            <c:spPr>
              <a:gradFill>
                <a:gsLst>
                  <a:gs pos="0">
                    <a:srgbClr val="779637"/>
                  </a:gs>
                  <a:gs pos="80000">
                    <a:srgbClr val="9bc348"/>
                  </a:gs>
                  <a:gs pos="100000">
                    <a:srgbClr val="9cc745"/>
                  </a:gs>
                </a:gsLst>
                <a:lin ang="16200000"/>
              </a:gradFill>
              <a:ln w="0">
                <a:noFill/>
              </a:ln>
            </c:spPr>
          </c:dPt>
          <c:dPt>
            <c:idx val="3"/>
            <c:spPr>
              <a:gradFill>
                <a:gsLst>
                  <a:gs pos="0">
                    <a:srgbClr val="5e437f"/>
                  </a:gs>
                  <a:gs pos="80000">
                    <a:srgbClr val="7b57a5"/>
                  </a:gs>
                  <a:gs pos="100000">
                    <a:srgbClr val="7b57a7"/>
                  </a:gs>
                </a:gsLst>
                <a:lin ang="16200000"/>
              </a:gradFill>
              <a:ln w="0">
                <a:noFill/>
              </a:ln>
            </c:spPr>
          </c:dPt>
          <c:dLbls>
            <c:dLbl>
              <c:idx val="0"/>
              <c:txPr>
                <a:bodyPr wrap="square"/>
                <a:lstStyle/>
                <a:p>
                  <a:pPr>
                    <a:defRPr b="0" lang="pt-PT" sz="1100" strike="noStrike" u="none">
                      <a:solidFill>
                        <a:srgbClr val="000000"/>
                      </a:solidFill>
                      <a:uFillTx/>
                      <a:latin typeface="Times New Roman"/>
                    </a:defRPr>
                  </a:pPr>
                </a:p>
              </c:txPr>
              <c:dLblPos val="ctr"/>
              <c:showLegendKey val="0"/>
              <c:showVal val="0"/>
              <c:showCatName val="0"/>
              <c:showSerName val="0"/>
              <c:showPercent val="1"/>
              <c:separator>
</c:separator>
            </c:dLbl>
            <c:dLbl>
              <c:idx val="1"/>
              <c:txPr>
                <a:bodyPr wrap="square"/>
                <a:lstStyle/>
                <a:p>
                  <a:pPr>
                    <a:defRPr b="0" lang="pt-PT" sz="1100" strike="noStrike" u="none">
                      <a:solidFill>
                        <a:srgbClr val="000000"/>
                      </a:solidFill>
                      <a:uFillTx/>
                      <a:latin typeface="Times New Roman"/>
                    </a:defRPr>
                  </a:pPr>
                </a:p>
              </c:txPr>
              <c:dLblPos val="ctr"/>
              <c:showLegendKey val="0"/>
              <c:showVal val="0"/>
              <c:showCatName val="0"/>
              <c:showSerName val="0"/>
              <c:showPercent val="1"/>
              <c:separator>
</c:separator>
            </c:dLbl>
            <c:dLbl>
              <c:idx val="2"/>
              <c:txPr>
                <a:bodyPr wrap="square"/>
                <a:lstStyle/>
                <a:p>
                  <a:pPr>
                    <a:defRPr b="0" lang="pt-PT" sz="1100" strike="noStrike" u="none">
                      <a:solidFill>
                        <a:srgbClr val="000000"/>
                      </a:solidFill>
                      <a:uFillTx/>
                      <a:latin typeface="Times New Roman"/>
                    </a:defRPr>
                  </a:pPr>
                </a:p>
              </c:txPr>
              <c:dLblPos val="ctr"/>
              <c:showLegendKey val="0"/>
              <c:showVal val="0"/>
              <c:showCatName val="0"/>
              <c:showSerName val="0"/>
              <c:showPercent val="1"/>
              <c:separator>
</c:separator>
            </c:dLbl>
            <c:dLbl>
              <c:idx val="3"/>
              <c:txPr>
                <a:bodyPr wrap="square"/>
                <a:lstStyle/>
                <a:p>
                  <a:pPr>
                    <a:defRPr b="0" lang="pt-PT" sz="1100" strike="noStrike" u="none">
                      <a:solidFill>
                        <a:srgbClr val="000000"/>
                      </a:solidFill>
                      <a:uFillTx/>
                      <a:latin typeface="Times New Roman"/>
                    </a:defRPr>
                  </a:pPr>
                </a:p>
              </c:txPr>
              <c:dLblPos val="ctr"/>
              <c:showLegendKey val="0"/>
              <c:showVal val="0"/>
              <c:showCatName val="0"/>
              <c:showSerName val="0"/>
              <c:showPercent val="1"/>
              <c:separator>
</c:separator>
            </c:dLbl>
            <c:txPr>
              <a:bodyPr wrap="square"/>
              <a:lstStyle/>
              <a:p>
                <a:pPr>
                  <a:defRPr b="0" lang="pt-PT" sz="1100" strike="noStrike" u="none">
                    <a:solidFill>
                      <a:srgbClr val="000000"/>
                    </a:solidFill>
                    <a:uFillTx/>
                    <a:latin typeface="Times New Roman"/>
                  </a:defRPr>
                </a:pPr>
              </a:p>
            </c:txPr>
            <c:dLblPos val="ctr"/>
            <c:showLegendKey val="0"/>
            <c:showVal val="0"/>
            <c:showCatName val="0"/>
            <c:showSerName val="0"/>
            <c:showPercent val="1"/>
            <c:separator>
</c:separator>
            <c:showLeaderLines val="1"/>
            <c:leaderLines>
              <c:spPr>
                <a:ln w="0">
                  <a:solidFill>
                    <a:srgbClr val="a6a6a6"/>
                  </a:solidFill>
                </a:ln>
              </c:spPr>
            </c:leaderLines>
          </c:dLbls>
          <c:cat>
            <c:strRef>
              <c:f>categories</c:f>
              <c:strCache>
                <c:ptCount val="4"/>
                <c:pt idx="0">
                  <c:v>25-44 A</c:v>
                </c:pt>
                <c:pt idx="1">
                  <c:v>45-64 A</c:v>
                </c:pt>
                <c:pt idx="2">
                  <c:v>65A +</c:v>
                </c:pt>
                <c:pt idx="3">
                  <c:v>Outros</c:v>
                </c:pt>
              </c:strCache>
            </c:strRef>
          </c:cat>
          <c:val>
            <c:numRef>
              <c:f>0</c:f>
              <c:numCache>
                <c:formatCode>General</c:formatCode>
                <c:ptCount val="4"/>
                <c:pt idx="0">
                  <c:v>1491</c:v>
                </c:pt>
                <c:pt idx="1">
                  <c:v>2411</c:v>
                </c:pt>
                <c:pt idx="2">
                  <c:v>1846</c:v>
                </c:pt>
                <c:pt idx="3">
                  <c:v>2565</c:v>
                </c:pt>
              </c:numCache>
            </c:numRef>
          </c:val>
        </c:ser>
        <c:firstSliceAng val="0"/>
      </c:pieChart>
      <c:spPr>
        <a:noFill/>
        <a:ln w="0">
          <a:noFill/>
        </a:ln>
      </c:spPr>
    </c:plotArea>
    <c:legend>
      <c:legendPos val="b"/>
      <c:overlay val="0"/>
      <c:spPr>
        <a:noFill/>
        <a:ln w="0">
          <a:noFill/>
        </a:ln>
      </c:spPr>
      <c:txPr>
        <a:bodyPr/>
        <a:lstStyle/>
        <a:p>
          <a:pPr>
            <a:defRPr b="0" lang="pt-PT" sz="1100" strike="noStrike" u="none">
              <a:solidFill>
                <a:srgbClr val="000000"/>
              </a:solidFill>
              <a:uFillTx/>
              <a:latin typeface="Times New Roman"/>
            </a:defRPr>
          </a:pPr>
        </a:p>
      </c:txPr>
    </c:legend>
    <c:plotVisOnly val="1"/>
    <c:dispBlanksAs val="gap"/>
  </c:chart>
  <c:spPr>
    <a:solidFill>
      <a:srgbClr val="ffffff"/>
    </a:solidFill>
    <a:ln w="9360">
      <a:noFill/>
    </a:ln>
  </c:sp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1" lang="pt-PT" sz="1400" strike="noStrike" u="none">
                <a:solidFill>
                  <a:srgbClr val="000000"/>
                </a:solidFill>
                <a:uFillTx/>
                <a:latin typeface="Times New Roman"/>
              </a:rPr>
              <a:t>Patologias</a:t>
            </a:r>
            <a:r>
              <a:rPr b="1" lang="pt-PT" sz="1400" strike="noStrike" u="none">
                <a:solidFill>
                  <a:srgbClr val="000000"/>
                </a:solidFill>
                <a:uFillTx/>
                <a:latin typeface="Times New Roman"/>
              </a:rPr>
              <a:t> Observadas</a:t>
            </a:r>
          </a:p>
        </c:rich>
      </c:tx>
      <c:overlay val="0"/>
      <c:spPr>
        <a:noFill/>
        <a:ln w="0">
          <a:noFill/>
        </a:ln>
      </c:spPr>
    </c:title>
    <c:autoTitleDeleted val="0"/>
    <c:plotArea>
      <c:layout>
        <c:manualLayout>
          <c:layoutTarget val="inner"/>
          <c:xMode val="edge"/>
          <c:yMode val="edge"/>
          <c:x val="0.082125"/>
          <c:y val="0.181"/>
          <c:w val="0.892875"/>
          <c:h val="0.512333333333333"/>
        </c:manualLayout>
      </c:layout>
      <c:barChart>
        <c:barDir val="col"/>
        <c:grouping val="stacked"/>
        <c:varyColors val="0"/>
        <c:ser>
          <c:idx val="0"/>
          <c:order val="0"/>
          <c:tx>
            <c:strRef>
              <c:f>label 0</c:f>
              <c:strCache>
                <c:ptCount val="1"/>
                <c:pt idx="0">
                  <c:v>Series1</c:v>
                </c:pt>
              </c:strCache>
            </c:strRef>
          </c:tx>
          <c:spPr>
            <a:solidFill>
              <a:srgbClr val="00b0f0"/>
            </a:solidFill>
            <a:ln w="0">
              <a:noFill/>
            </a:ln>
          </c:spPr>
          <c:invertIfNegative val="0"/>
          <c:dPt>
            <c:idx val="0"/>
            <c:invertIfNegative val="0"/>
            <c:spPr>
              <a:solidFill>
                <a:srgbClr val="00b0f0"/>
              </a:solidFill>
              <a:ln w="0">
                <a:noFill/>
              </a:ln>
            </c:spPr>
          </c:dPt>
          <c:dPt>
            <c:idx val="1"/>
            <c:invertIfNegative val="0"/>
            <c:spPr>
              <a:solidFill>
                <a:srgbClr val="00b0f0"/>
              </a:solidFill>
              <a:ln w="0">
                <a:noFill/>
              </a:ln>
            </c:spPr>
          </c:dPt>
          <c:dPt>
            <c:idx val="2"/>
            <c:invertIfNegative val="0"/>
            <c:spPr>
              <a:solidFill>
                <a:srgbClr val="00b0f0"/>
              </a:solidFill>
              <a:ln w="0">
                <a:noFill/>
              </a:ln>
            </c:spPr>
          </c:dPt>
          <c:dPt>
            <c:idx val="3"/>
            <c:invertIfNegative val="0"/>
            <c:spPr>
              <a:solidFill>
                <a:srgbClr val="00b0f0"/>
              </a:solidFill>
              <a:ln w="0">
                <a:noFill/>
              </a:ln>
            </c:spPr>
          </c:dPt>
          <c:dPt>
            <c:idx val="4"/>
            <c:invertIfNegative val="0"/>
            <c:spPr>
              <a:solidFill>
                <a:srgbClr val="00b0f0"/>
              </a:solidFill>
              <a:ln w="0">
                <a:noFill/>
              </a:ln>
            </c:spPr>
          </c:dPt>
          <c:dPt>
            <c:idx val="5"/>
            <c:invertIfNegative val="0"/>
            <c:spPr>
              <a:solidFill>
                <a:srgbClr val="00b0f0"/>
              </a:solidFill>
              <a:ln w="0">
                <a:noFill/>
              </a:ln>
            </c:spPr>
          </c:dPt>
          <c:dPt>
            <c:idx val="6"/>
            <c:invertIfNegative val="0"/>
            <c:spPr>
              <a:solidFill>
                <a:srgbClr val="00b0f0"/>
              </a:solidFill>
              <a:ln w="0">
                <a:noFill/>
              </a:ln>
            </c:spPr>
          </c:dPt>
          <c:dPt>
            <c:idx val="7"/>
            <c:invertIfNegative val="0"/>
            <c:spPr>
              <a:solidFill>
                <a:srgbClr val="00b0f0"/>
              </a:solidFill>
              <a:ln w="0">
                <a:noFill/>
              </a:ln>
            </c:spPr>
          </c:dPt>
          <c:dPt>
            <c:idx val="8"/>
            <c:invertIfNegative val="0"/>
            <c:spPr>
              <a:solidFill>
                <a:srgbClr val="00b0f0"/>
              </a:solidFill>
              <a:ln w="0">
                <a:noFill/>
              </a:ln>
            </c:spPr>
          </c:dPt>
          <c:dPt>
            <c:idx val="9"/>
            <c:invertIfNegative val="0"/>
            <c:spPr>
              <a:solidFill>
                <a:srgbClr val="00b0f0"/>
              </a:solidFill>
              <a:ln w="0">
                <a:noFill/>
              </a:ln>
            </c:spPr>
          </c:dPt>
          <c:dPt>
            <c:idx val="10"/>
            <c:invertIfNegative val="0"/>
            <c:spPr>
              <a:solidFill>
                <a:srgbClr val="00b0f0"/>
              </a:solidFill>
              <a:ln w="0">
                <a:noFill/>
              </a:ln>
            </c:spPr>
          </c:dPt>
          <c:dPt>
            <c:idx val="11"/>
            <c:invertIfNegative val="0"/>
            <c:spPr>
              <a:solidFill>
                <a:srgbClr val="00b0f0"/>
              </a:solidFill>
              <a:ln w="0">
                <a:noFill/>
              </a:ln>
            </c:spPr>
          </c:dPt>
          <c:dPt>
            <c:idx val="12"/>
            <c:invertIfNegative val="0"/>
            <c:spPr>
              <a:solidFill>
                <a:srgbClr val="00b0f0"/>
              </a:solidFill>
              <a:ln w="0">
                <a:noFill/>
              </a:ln>
            </c:spPr>
          </c:dPt>
          <c:dPt>
            <c:idx val="13"/>
            <c:invertIfNegative val="0"/>
            <c:spPr>
              <a:solidFill>
                <a:srgbClr val="00b0f0"/>
              </a:solidFill>
              <a:ln w="0">
                <a:noFill/>
              </a:ln>
            </c:spPr>
          </c:dPt>
          <c:dPt>
            <c:idx val="14"/>
            <c:invertIfNegative val="0"/>
            <c:spPr>
              <a:solidFill>
                <a:srgbClr val="00b0f0"/>
              </a:solidFill>
              <a:ln w="0">
                <a:noFill/>
              </a:ln>
            </c:spPr>
          </c:dPt>
          <c:dPt>
            <c:idx val="15"/>
            <c:invertIfNegative val="0"/>
            <c:spPr>
              <a:solidFill>
                <a:srgbClr val="00b0f0"/>
              </a:solidFill>
              <a:ln w="0">
                <a:noFill/>
              </a:ln>
            </c:spPr>
          </c:dPt>
          <c:dLbls>
            <c:numFmt formatCode="_(* #,##0_);_(* \(#,##0\);_(* &quot;- _)&quot;;_(@_)" sourceLinked="0"/>
            <c:dLbl>
              <c:idx val="0"/>
              <c:layout>
                <c:manualLayout>
                  <c:x val="0.00833333333333333"/>
                  <c:y val="-0.180555555555556"/>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17%</a:t>
                    </a:r>
                  </a:p>
                </c:rich>
              </c:tx>
              <c:dLblPos val="ctr"/>
              <c:showLegendKey val="0"/>
              <c:showVal val="0"/>
              <c:showCatName val="0"/>
              <c:showSerName val="0"/>
              <c:showPercent val="0"/>
              <c:separator>; </c:separator>
            </c:dLbl>
            <c:dLbl>
              <c:idx val="1"/>
              <c:layout>
                <c:manualLayout>
                  <c:x val="0.00277777777777778"/>
                  <c:y val="-0.0462962962962962"/>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0%</a:t>
                    </a:r>
                  </a:p>
                </c:rich>
              </c:tx>
              <c:dLblPos val="ctr"/>
              <c:showLegendKey val="0"/>
              <c:showVal val="0"/>
              <c:showCatName val="0"/>
              <c:showSerName val="0"/>
              <c:showPercent val="0"/>
              <c:separator>; </c:separator>
            </c:dLbl>
            <c:dLbl>
              <c:idx val="2"/>
              <c:layout>
                <c:manualLayout>
                  <c:x val="-2.546266881604E-017"/>
                  <c:y val="-0.162037037037037"/>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15%</a:t>
                    </a:r>
                  </a:p>
                </c:rich>
              </c:tx>
              <c:dLblPos val="ctr"/>
              <c:showLegendKey val="0"/>
              <c:showVal val="0"/>
              <c:showCatName val="0"/>
              <c:showSerName val="0"/>
              <c:showPercent val="0"/>
              <c:separator>; </c:separator>
            </c:dLbl>
            <c:dLbl>
              <c:idx val="3"/>
              <c:layout>
                <c:manualLayout>
                  <c:x val="0.00277777777777778"/>
                  <c:y val="-0.277777777777778"/>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29%</a:t>
                    </a:r>
                  </a:p>
                </c:rich>
              </c:tx>
              <c:dLblPos val="ctr"/>
              <c:showLegendKey val="0"/>
              <c:showVal val="0"/>
              <c:showCatName val="0"/>
              <c:showSerName val="0"/>
              <c:showPercent val="0"/>
              <c:separator>; </c:separator>
            </c:dLbl>
            <c:dLbl>
              <c:idx val="4"/>
              <c:layout>
                <c:manualLayout>
                  <c:x val="0.00277777777777773"/>
                  <c:y val="-0.0462962962962964"/>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0%</a:t>
                    </a:r>
                  </a:p>
                </c:rich>
              </c:tx>
              <c:dLblPos val="ctr"/>
              <c:showLegendKey val="0"/>
              <c:showVal val="0"/>
              <c:showCatName val="0"/>
              <c:showSerName val="0"/>
              <c:showPercent val="0"/>
              <c:separator>; </c:separator>
            </c:dLbl>
            <c:dLbl>
              <c:idx val="5"/>
              <c:layout>
                <c:manualLayout>
                  <c:x val="0"/>
                  <c:y val="-0.0694444444444444"/>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3%</a:t>
                    </a:r>
                  </a:p>
                </c:rich>
              </c:tx>
              <c:dLblPos val="ctr"/>
              <c:showLegendKey val="0"/>
              <c:showVal val="0"/>
              <c:showCatName val="0"/>
              <c:showSerName val="0"/>
              <c:showPercent val="0"/>
              <c:separator>; </c:separator>
            </c:dLbl>
            <c:dLbl>
              <c:idx val="6"/>
              <c:layout>
                <c:manualLayout>
                  <c:x val="0.00277777777777783"/>
                  <c:y val="-0.111111111111111"/>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9%</a:t>
                    </a:r>
                  </a:p>
                </c:rich>
              </c:tx>
              <c:dLblPos val="ctr"/>
              <c:showLegendKey val="0"/>
              <c:showVal val="0"/>
              <c:showCatName val="0"/>
              <c:showSerName val="0"/>
              <c:showPercent val="0"/>
              <c:separator>; </c:separator>
            </c:dLbl>
            <c:dLbl>
              <c:idx val="7"/>
              <c:layout>
                <c:manualLayout>
                  <c:x val="0.00277777777777778"/>
                  <c:y val="-0.0370370370370371"/>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0%</a:t>
                    </a:r>
                  </a:p>
                </c:rich>
              </c:tx>
              <c:dLblPos val="ctr"/>
              <c:showLegendKey val="0"/>
              <c:showVal val="0"/>
              <c:showCatName val="0"/>
              <c:showSerName val="0"/>
              <c:showPercent val="0"/>
              <c:separator>; </c:separator>
            </c:dLbl>
            <c:dLbl>
              <c:idx val="8"/>
              <c:layout>
                <c:manualLayout>
                  <c:x val="0"/>
                  <c:y val="-0.0740740740740742"/>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4%</a:t>
                    </a:r>
                  </a:p>
                </c:rich>
              </c:tx>
              <c:dLblPos val="ctr"/>
              <c:showLegendKey val="0"/>
              <c:showVal val="0"/>
              <c:showCatName val="0"/>
              <c:showSerName val="0"/>
              <c:showPercent val="0"/>
              <c:separator>; </c:separator>
            </c:dLbl>
            <c:dLbl>
              <c:idx val="9"/>
              <c:layout>
                <c:manualLayout>
                  <c:x val="0"/>
                  <c:y val="-0.0787037037037037"/>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5%</a:t>
                    </a:r>
                  </a:p>
                </c:rich>
              </c:tx>
              <c:dLblPos val="ctr"/>
              <c:showLegendKey val="0"/>
              <c:showVal val="0"/>
              <c:showCatName val="0"/>
              <c:showSerName val="0"/>
              <c:showPercent val="0"/>
              <c:separator>; </c:separator>
            </c:dLbl>
            <c:dLbl>
              <c:idx val="10"/>
              <c:layout>
                <c:manualLayout>
                  <c:x val="0"/>
                  <c:y val="-0.0555555555555556"/>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a:t>
                    </a:r>
                  </a:p>
                </c:rich>
              </c:tx>
              <c:dLblPos val="ctr"/>
              <c:showLegendKey val="0"/>
              <c:showVal val="0"/>
              <c:showCatName val="0"/>
              <c:showSerName val="0"/>
              <c:showPercent val="0"/>
              <c:separator>; </c:separator>
            </c:dLbl>
            <c:dLbl>
              <c:idx val="11"/>
              <c:layout>
                <c:manualLayout>
                  <c:x val="0"/>
                  <c:y val="-0.0833333333333333"/>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6%</a:t>
                    </a:r>
                  </a:p>
                </c:rich>
              </c:tx>
              <c:dLblPos val="ctr"/>
              <c:showLegendKey val="0"/>
              <c:showVal val="0"/>
              <c:showCatName val="0"/>
              <c:showSerName val="0"/>
              <c:showPercent val="0"/>
              <c:separator>; </c:separator>
            </c:dLbl>
            <c:dLbl>
              <c:idx val="12"/>
              <c:layout>
                <c:manualLayout>
                  <c:x val="0.00277777777777768"/>
                  <c:y val="-0.0555555555555556"/>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a:t>
                    </a:r>
                  </a:p>
                </c:rich>
              </c:tx>
              <c:dLblPos val="ctr"/>
              <c:showLegendKey val="0"/>
              <c:showVal val="0"/>
              <c:showCatName val="0"/>
              <c:showSerName val="0"/>
              <c:showPercent val="0"/>
              <c:separator>; </c:separator>
            </c:dLbl>
            <c:dLbl>
              <c:idx val="13"/>
              <c:layout>
                <c:manualLayout>
                  <c:x val="0"/>
                  <c:y val="-0.0462962962962964"/>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a:t>
                    </a:r>
                  </a:p>
                </c:rich>
              </c:tx>
              <c:dLblPos val="ctr"/>
              <c:showLegendKey val="0"/>
              <c:showVal val="0"/>
              <c:showCatName val="0"/>
              <c:showSerName val="0"/>
              <c:showPercent val="0"/>
              <c:separator>; </c:separator>
            </c:dLbl>
            <c:dLbl>
              <c:idx val="14"/>
              <c:layout>
                <c:manualLayout>
                  <c:x val="0.00277777777777788"/>
                  <c:y val="-0.0833333333333334"/>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6%</a:t>
                    </a:r>
                  </a:p>
                </c:rich>
              </c:tx>
              <c:dLblPos val="ctr"/>
              <c:showLegendKey val="0"/>
              <c:showVal val="0"/>
              <c:showCatName val="0"/>
              <c:showSerName val="0"/>
              <c:showPercent val="0"/>
              <c:separator>; </c:separator>
            </c:dLbl>
            <c:dLbl>
              <c:idx val="15"/>
              <c:layout>
                <c:manualLayout>
                  <c:x val="0"/>
                  <c:y val="-0.0555555555555556"/>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a:t>
                    </a:r>
                  </a:p>
                </c:rich>
              </c:tx>
              <c:dLblPos val="ctr"/>
              <c:showLegendKey val="0"/>
              <c:showVal val="0"/>
              <c:showCatName val="0"/>
              <c:showSerName val="0"/>
              <c:showPercent val="0"/>
              <c:separator>; </c:separator>
            </c:dLbl>
            <c:txPr>
              <a:bodyPr wrap="square"/>
              <a:lstStyle/>
              <a:p>
                <a:pPr>
                  <a:defRPr b="0" lang="pt-PT" sz="1100" strike="noStrike" u="none">
                    <a:solidFill>
                      <a:srgbClr val="000000"/>
                    </a:solidFill>
                    <a:uFillTx/>
                    <a:latin typeface="Times New Roman"/>
                  </a:defRPr>
                </a:pPr>
              </a:p>
            </c:txPr>
            <c:dLblPos val="ctr"/>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16"/>
                <c:pt idx="0">
                  <c:v>Ametropia</c:v>
                </c:pt>
                <c:pt idx="1">
                  <c:v>Aparelho lacrimal</c:v>
                </c:pt>
                <c:pt idx="2">
                  <c:v>Conjuntivas</c:v>
                </c:pt>
                <c:pt idx="3">
                  <c:v>Cristalino</c:v>
                </c:pt>
                <c:pt idx="4">
                  <c:v>Esclerótica</c:v>
                </c:pt>
                <c:pt idx="5">
                  <c:v>Estrabismo</c:v>
                </c:pt>
                <c:pt idx="6">
                  <c:v>Glaucoma</c:v>
                </c:pt>
                <c:pt idx="7">
                  <c:v>Nervo Óptico</c:v>
                </c:pt>
                <c:pt idx="8">
                  <c:v>Pálpebras</c:v>
                </c:pt>
                <c:pt idx="9">
                  <c:v>Retina</c:v>
                </c:pt>
                <c:pt idx="10">
                  <c:v>T.Visual e cegueira</c:v>
                </c:pt>
                <c:pt idx="11">
                  <c:v>Trans.da córnea</c:v>
                </c:pt>
                <c:pt idx="12">
                  <c:v>Trans. Órbita</c:v>
                </c:pt>
                <c:pt idx="13">
                  <c:v>Trans. Úvea</c:v>
                </c:pt>
                <c:pt idx="14">
                  <c:v>Traumatismo</c:v>
                </c:pt>
                <c:pt idx="15">
                  <c:v>Tumores</c:v>
                </c:pt>
              </c:strCache>
            </c:strRef>
          </c:cat>
          <c:val>
            <c:numRef>
              <c:f>0</c:f>
              <c:numCache>
                <c:formatCode>General</c:formatCode>
                <c:ptCount val="16"/>
                <c:pt idx="0">
                  <c:v>1695</c:v>
                </c:pt>
                <c:pt idx="1">
                  <c:v>18</c:v>
                </c:pt>
                <c:pt idx="2">
                  <c:v>1455</c:v>
                </c:pt>
                <c:pt idx="3">
                  <c:v>2847</c:v>
                </c:pt>
                <c:pt idx="4">
                  <c:v>35</c:v>
                </c:pt>
                <c:pt idx="5">
                  <c:v>281</c:v>
                </c:pt>
                <c:pt idx="6">
                  <c:v>893</c:v>
                </c:pt>
                <c:pt idx="7">
                  <c:v>4</c:v>
                </c:pt>
                <c:pt idx="8">
                  <c:v>402</c:v>
                </c:pt>
                <c:pt idx="9">
                  <c:v>531</c:v>
                </c:pt>
                <c:pt idx="10">
                  <c:v>52</c:v>
                </c:pt>
                <c:pt idx="11">
                  <c:v>563</c:v>
                </c:pt>
                <c:pt idx="12">
                  <c:v>135</c:v>
                </c:pt>
                <c:pt idx="13">
                  <c:v>143</c:v>
                </c:pt>
                <c:pt idx="14">
                  <c:v>580</c:v>
                </c:pt>
                <c:pt idx="15">
                  <c:v>68</c:v>
                </c:pt>
              </c:numCache>
            </c:numRef>
          </c:val>
        </c:ser>
        <c:gapWidth val="150"/>
        <c:overlap val="100"/>
        <c:axId val="25184880"/>
        <c:axId val="7686549"/>
      </c:barChart>
      <c:catAx>
        <c:axId val="25184880"/>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lang="pt-PT" sz="1100" strike="noStrike" u="none">
                <a:solidFill>
                  <a:srgbClr val="000000"/>
                </a:solidFill>
                <a:uFillTx/>
                <a:latin typeface="Times New Roman"/>
              </a:defRPr>
            </a:pPr>
          </a:p>
        </c:txPr>
        <c:crossAx val="7686549"/>
        <c:crosses val="autoZero"/>
        <c:auto val="1"/>
        <c:lblAlgn val="ctr"/>
        <c:lblOffset val="100"/>
        <c:noMultiLvlLbl val="0"/>
      </c:catAx>
      <c:valAx>
        <c:axId val="7686549"/>
        <c:scaling>
          <c:orientation val="minMax"/>
        </c:scaling>
        <c:delete val="1"/>
        <c:axPos val="l"/>
        <c:numFmt formatCode="_(* #,##0_);_(* \(#,##0\);_(* &quot;- _)&quot;;_(@_)" sourceLinked="1"/>
        <c:majorTickMark val="none"/>
        <c:minorTickMark val="none"/>
        <c:tickLblPos val="nextTo"/>
        <c:spPr>
          <a:ln w="9360">
            <a:solidFill>
              <a:srgbClr val="878787"/>
            </a:solidFill>
            <a:round/>
          </a:ln>
        </c:spPr>
        <c:txPr>
          <a:bodyPr/>
          <a:lstStyle/>
          <a:p>
            <a:pPr>
              <a:defRPr b="0" lang="pt-PT" sz="1000" strike="noStrike" u="none">
                <a:solidFill>
                  <a:srgbClr val="000000"/>
                </a:solidFill>
                <a:uFillTx/>
                <a:latin typeface="Calibri"/>
              </a:defRPr>
            </a:pPr>
          </a:p>
        </c:txPr>
        <c:crossAx val="25184880"/>
        <c:crossBetween val="between"/>
      </c:valAx>
      <c:spPr>
        <a:noFill/>
        <a:ln w="0">
          <a:noFill/>
        </a:ln>
      </c:spPr>
    </c:plotArea>
    <c:plotVisOnly val="1"/>
    <c:dispBlanksAs val="gap"/>
  </c:chart>
  <c:spPr>
    <a:solidFill>
      <a:srgbClr val="ffffff"/>
    </a:solidFill>
    <a:ln w="9360">
      <a:noFill/>
    </a:ln>
  </c:sp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1" lang="pt-PT" sz="1400" strike="noStrike" u="none">
                <a:solidFill>
                  <a:srgbClr val="000000"/>
                </a:solidFill>
                <a:uFillTx/>
                <a:latin typeface="Times New Roman"/>
              </a:rPr>
              <a:t>Cirurgia Realizadas</a:t>
            </a:r>
          </a:p>
        </c:rich>
      </c:tx>
      <c:overlay val="0"/>
      <c:spPr>
        <a:noFill/>
        <a:ln w="0">
          <a:noFill/>
        </a:ln>
      </c:spPr>
    </c:title>
    <c:autoTitleDeleted val="0"/>
    <c:plotArea>
      <c:pieChart>
        <c:varyColors val="1"/>
        <c:ser>
          <c:idx val="0"/>
          <c:order val="0"/>
          <c:tx>
            <c:strRef>
              <c:f>label 0</c:f>
              <c:strCache>
                <c:ptCount val="1"/>
                <c:pt idx="0">
                  <c:v>Series1</c:v>
                </c:pt>
              </c:strCache>
            </c:strRef>
          </c:tx>
          <c:spPr>
            <a:solidFill>
              <a:srgbClr val="4f81bd"/>
            </a:solidFill>
            <a:ln w="0">
              <a:noFill/>
            </a:ln>
          </c:spPr>
          <c:explosion val="0"/>
          <c:dPt>
            <c:idx val="0"/>
            <c:spPr>
              <a:solidFill>
                <a:srgbClr val="c00000"/>
              </a:solidFill>
              <a:ln w="0">
                <a:noFill/>
              </a:ln>
            </c:spPr>
          </c:dPt>
          <c:dPt>
            <c:idx val="1"/>
            <c:spPr>
              <a:solidFill>
                <a:srgbClr val="0070c0"/>
              </a:solidFill>
              <a:ln w="0">
                <a:noFill/>
              </a:ln>
            </c:spPr>
          </c:dPt>
          <c:dPt>
            <c:idx val="2"/>
            <c:spPr>
              <a:solidFill>
                <a:srgbClr val="92d050"/>
              </a:solidFill>
              <a:ln w="0">
                <a:noFill/>
              </a:ln>
            </c:spPr>
          </c:dPt>
          <c:dLbls>
            <c:numFmt formatCode="General" sourceLinked="1"/>
            <c:dLbl>
              <c:idx val="0"/>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37</a:t>
                    </a:r>
                  </a:p>
                </c:rich>
              </c:tx>
              <c:dLblPos val="inEnd"/>
              <c:showLegendKey val="0"/>
              <c:showVal val="0"/>
              <c:showCatName val="0"/>
              <c:showSerName val="0"/>
              <c:showPercent val="0"/>
              <c:separator>; </c:separator>
            </c:dLbl>
            <c:dLbl>
              <c:idx val="1"/>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618</a:t>
                    </a:r>
                  </a:p>
                </c:rich>
              </c:tx>
              <c:dLblPos val="inEnd"/>
              <c:showLegendKey val="0"/>
              <c:showVal val="0"/>
              <c:showCatName val="0"/>
              <c:showSerName val="0"/>
              <c:showPercent val="0"/>
              <c:separator>; </c:separator>
            </c:dLbl>
            <c:dLbl>
              <c:idx val="2"/>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112</a:t>
                    </a:r>
                  </a:p>
                </c:rich>
              </c:tx>
              <c:dLblPos val="inEnd"/>
              <c:showLegendKey val="0"/>
              <c:showVal val="0"/>
              <c:showCatName val="0"/>
              <c:showSerName val="0"/>
              <c:showPercent val="0"/>
              <c:separator>; </c:separator>
            </c:dLbl>
            <c:txPr>
              <a:bodyPr wrap="square"/>
              <a:lstStyle/>
              <a:p>
                <a:pPr>
                  <a:defRPr b="0" lang="pt-PT" sz="1200" strike="noStrike" u="none">
                    <a:solidFill>
                      <a:srgbClr val="000000"/>
                    </a:solidFill>
                    <a:uFillTx/>
                    <a:latin typeface="Times New Roman"/>
                  </a:defRPr>
                </a:pPr>
              </a:p>
            </c:txPr>
            <c:dLblPos val="inEnd"/>
            <c:showLegendKey val="0"/>
            <c:showVal val="1"/>
            <c:showCatName val="0"/>
            <c:showSerName val="0"/>
            <c:showPercent val="1"/>
            <c:separator>; </c:separator>
            <c:showLeaderLines val="1"/>
            <c:leaderLines>
              <c:spPr>
                <a:ln w="0">
                  <a:solidFill>
                    <a:srgbClr val="a6a6a6"/>
                  </a:solidFill>
                </a:ln>
              </c:spPr>
            </c:leaderLines>
          </c:dLbls>
          <c:cat>
            <c:strRef>
              <c:f>categories</c:f>
              <c:strCache>
                <c:ptCount val="3"/>
                <c:pt idx="0">
                  <c:v>Urgências</c:v>
                </c:pt>
                <c:pt idx="1">
                  <c:v>Electivas</c:v>
                </c:pt>
                <c:pt idx="2">
                  <c:v>Actos</c:v>
                </c:pt>
              </c:strCache>
            </c:strRef>
          </c:cat>
          <c:val>
            <c:numRef>
              <c:f>0</c:f>
              <c:numCache>
                <c:formatCode>General</c:formatCode>
                <c:ptCount val="3"/>
                <c:pt idx="0">
                  <c:v>37</c:v>
                </c:pt>
                <c:pt idx="1">
                  <c:v>618</c:v>
                </c:pt>
                <c:pt idx="2">
                  <c:v>112</c:v>
                </c:pt>
              </c:numCache>
            </c:numRef>
          </c:val>
        </c:ser>
        <c:firstSliceAng val="0"/>
      </c:pieChart>
      <c:spPr>
        <a:noFill/>
        <a:ln w="0">
          <a:noFill/>
        </a:ln>
      </c:spPr>
    </c:plotArea>
    <c:legend>
      <c:legendPos val="b"/>
      <c:overlay val="0"/>
      <c:spPr>
        <a:noFill/>
        <a:ln w="0">
          <a:noFill/>
        </a:ln>
      </c:spPr>
      <c:txPr>
        <a:bodyPr/>
        <a:lstStyle/>
        <a:p>
          <a:pPr>
            <a:defRPr b="0" lang="pt-PT" sz="1200" strike="noStrike" u="none">
              <a:solidFill>
                <a:srgbClr val="000000"/>
              </a:solidFill>
              <a:uFillTx/>
              <a:latin typeface="Times New Roman"/>
            </a:defRPr>
          </a:pPr>
        </a:p>
      </c:txPr>
    </c:legend>
    <c:plotVisOnly val="1"/>
    <c:dispBlanksAs val="gap"/>
  </c:chart>
  <c:spPr>
    <a:solidFill>
      <a:srgbClr val="ffffff"/>
    </a:solidFill>
    <a:ln w="9360">
      <a:noFill/>
    </a:ln>
  </c:sp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1" lang="pt-PT" sz="1400" strike="noStrike" u="none">
                <a:solidFill>
                  <a:srgbClr val="000000"/>
                </a:solidFill>
                <a:uFillTx/>
                <a:latin typeface="Times New Roman"/>
              </a:rPr>
              <a:t>Cirurgias Canceladas</a:t>
            </a:r>
          </a:p>
        </c:rich>
      </c:tx>
      <c:layout>
        <c:manualLayout>
          <c:xMode val="edge"/>
          <c:yMode val="edge"/>
          <c:x val="0.332782108827467"/>
          <c:y val="0.0324189526184539"/>
        </c:manualLayout>
      </c:layout>
      <c:overlay val="0"/>
      <c:spPr>
        <a:noFill/>
        <a:ln w="0">
          <a:noFill/>
        </a:ln>
      </c:spPr>
    </c:title>
    <c:autoTitleDeleted val="0"/>
    <c:plotArea>
      <c:barChart>
        <c:barDir val="col"/>
        <c:grouping val="clustered"/>
        <c:varyColors val="0"/>
        <c:ser>
          <c:idx val="0"/>
          <c:order val="0"/>
          <c:tx>
            <c:strRef>
              <c:f>label 0</c:f>
              <c:strCache>
                <c:ptCount val="1"/>
                <c:pt idx="0">
                  <c:v>Series1</c:v>
                </c:pt>
              </c:strCache>
            </c:strRef>
          </c:tx>
          <c:spPr>
            <a:solidFill>
              <a:srgbClr val="00b050"/>
            </a:solidFill>
            <a:ln w="0">
              <a:noFill/>
            </a:ln>
          </c:spPr>
          <c:invertIfNegative val="0"/>
          <c:dPt>
            <c:idx val="0"/>
            <c:invertIfNegative val="0"/>
            <c:spPr>
              <a:solidFill>
                <a:srgbClr val="00b050"/>
              </a:solidFill>
              <a:ln w="0">
                <a:noFill/>
              </a:ln>
            </c:spPr>
          </c:dPt>
          <c:dPt>
            <c:idx val="1"/>
            <c:invertIfNegative val="0"/>
            <c:spPr>
              <a:solidFill>
                <a:srgbClr val="00b050"/>
              </a:solidFill>
              <a:ln w="0">
                <a:noFill/>
              </a:ln>
            </c:spPr>
          </c:dPt>
          <c:dPt>
            <c:idx val="2"/>
            <c:invertIfNegative val="0"/>
            <c:spPr>
              <a:solidFill>
                <a:srgbClr val="00b050"/>
              </a:solidFill>
              <a:ln w="0">
                <a:noFill/>
              </a:ln>
            </c:spPr>
          </c:dPt>
          <c:dPt>
            <c:idx val="3"/>
            <c:invertIfNegative val="0"/>
            <c:spPr>
              <a:solidFill>
                <a:srgbClr val="00b050"/>
              </a:solidFill>
              <a:ln w="0">
                <a:noFill/>
              </a:ln>
            </c:spPr>
          </c:dPt>
          <c:dLbls>
            <c:numFmt formatCode="General" sourceLinked="0"/>
            <c:dLbl>
              <c:idx val="0"/>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17%</a:t>
                    </a:r>
                  </a:p>
                </c:rich>
              </c:tx>
              <c:dLblPos val="outEnd"/>
              <c:showLegendKey val="0"/>
              <c:showVal val="0"/>
              <c:showCatName val="0"/>
              <c:showSerName val="0"/>
              <c:showPercent val="0"/>
              <c:separator>; </c:separator>
            </c:dLbl>
            <c:dLbl>
              <c:idx val="1"/>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28%</a:t>
                    </a:r>
                  </a:p>
                </c:rich>
              </c:tx>
              <c:dLblPos val="outEnd"/>
              <c:showLegendKey val="0"/>
              <c:showVal val="0"/>
              <c:showCatName val="0"/>
              <c:showSerName val="0"/>
              <c:showPercent val="0"/>
              <c:separator>; </c:separator>
            </c:dLbl>
            <c:dLbl>
              <c:idx val="2"/>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47%</a:t>
                    </a:r>
                  </a:p>
                </c:rich>
              </c:tx>
              <c:dLblPos val="outEnd"/>
              <c:showLegendKey val="0"/>
              <c:showVal val="0"/>
              <c:showCatName val="0"/>
              <c:showSerName val="0"/>
              <c:showPercent val="0"/>
              <c:separator>; </c:separator>
            </c:dLbl>
            <c:dLbl>
              <c:idx val="3"/>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8%</a:t>
                    </a:r>
                  </a:p>
                </c:rich>
              </c:tx>
              <c:dLblPos val="outEnd"/>
              <c:showLegendKey val="0"/>
              <c:showVal val="0"/>
              <c:showCatName val="0"/>
              <c:showSerName val="0"/>
              <c:showPercent val="0"/>
              <c:separator>; </c:separator>
            </c:dLbl>
            <c:txPr>
              <a:bodyPr wrap="square"/>
              <a:lstStyle/>
              <a:p>
                <a:pPr>
                  <a:defRPr b="0" lang="pt-PT" sz="1100" strike="noStrike" u="none">
                    <a:solidFill>
                      <a:srgbClr val="000000"/>
                    </a:solidFill>
                    <a:uFillTx/>
                    <a:latin typeface="Times New Roman"/>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HTA</c:v>
                </c:pt>
                <c:pt idx="1">
                  <c:v>Critério Médico</c:v>
                </c:pt>
                <c:pt idx="2">
                  <c:v>Falta de Comparência</c:v>
                </c:pt>
                <c:pt idx="3">
                  <c:v>Motivo Técnico</c:v>
                </c:pt>
              </c:strCache>
            </c:strRef>
          </c:cat>
          <c:val>
            <c:numRef>
              <c:f>0</c:f>
              <c:numCache>
                <c:formatCode>General</c:formatCode>
                <c:ptCount val="4"/>
                <c:pt idx="0">
                  <c:v>15</c:v>
                </c:pt>
                <c:pt idx="1">
                  <c:v>24</c:v>
                </c:pt>
                <c:pt idx="2">
                  <c:v>40</c:v>
                </c:pt>
                <c:pt idx="3">
                  <c:v>7</c:v>
                </c:pt>
              </c:numCache>
            </c:numRef>
          </c:val>
        </c:ser>
        <c:gapWidth val="150"/>
        <c:overlap val="0"/>
        <c:axId val="38017259"/>
        <c:axId val="75818327"/>
      </c:barChart>
      <c:catAx>
        <c:axId val="38017259"/>
        <c:scaling>
          <c:orientation val="minMax"/>
        </c:scaling>
        <c:delete val="0"/>
        <c:axPos val="b"/>
        <c:numFmt formatCode="General" sourceLinked="0"/>
        <c:majorTickMark val="none"/>
        <c:minorTickMark val="none"/>
        <c:tickLblPos val="nextTo"/>
        <c:spPr>
          <a:ln w="9360">
            <a:noFill/>
          </a:ln>
        </c:spPr>
        <c:txPr>
          <a:bodyPr/>
          <a:lstStyle/>
          <a:p>
            <a:pPr>
              <a:defRPr b="0" lang="pt-PT" sz="1100" strike="noStrike" u="none">
                <a:solidFill>
                  <a:srgbClr val="000000"/>
                </a:solidFill>
                <a:uFillTx/>
                <a:latin typeface="Times New Roman"/>
              </a:defRPr>
            </a:pPr>
          </a:p>
        </c:txPr>
        <c:crossAx val="75818327"/>
        <c:crosses val="autoZero"/>
        <c:auto val="1"/>
        <c:lblAlgn val="ctr"/>
        <c:lblOffset val="100"/>
        <c:noMultiLvlLbl val="0"/>
      </c:catAx>
      <c:valAx>
        <c:axId val="75818327"/>
        <c:scaling>
          <c:orientation val="minMax"/>
        </c:scaling>
        <c:delete val="1"/>
        <c:axPos val="l"/>
        <c:numFmt formatCode="General" sourceLinked="1"/>
        <c:majorTickMark val="none"/>
        <c:minorTickMark val="none"/>
        <c:tickLblPos val="nextTo"/>
        <c:spPr>
          <a:ln w="9360">
            <a:solidFill>
              <a:srgbClr val="878787"/>
            </a:solidFill>
            <a:round/>
          </a:ln>
        </c:spPr>
        <c:txPr>
          <a:bodyPr/>
          <a:lstStyle/>
          <a:p>
            <a:pPr>
              <a:defRPr b="0" lang="pt-PT" sz="1000" strike="noStrike" u="none">
                <a:solidFill>
                  <a:srgbClr val="000000"/>
                </a:solidFill>
                <a:uFillTx/>
                <a:latin typeface="Calibri"/>
              </a:defRPr>
            </a:pPr>
          </a:p>
        </c:txPr>
        <c:crossAx val="38017259"/>
        <c:crossBetween val="between"/>
      </c:valAx>
      <c:spPr>
        <a:noFill/>
        <a:ln w="0">
          <a:noFill/>
        </a:ln>
      </c:spPr>
    </c:plotArea>
    <c:plotVisOnly val="1"/>
    <c:dispBlanksAs val="gap"/>
  </c:chart>
  <c:spPr>
    <a:solidFill>
      <a:srgbClr val="ffffff"/>
    </a:solidFill>
    <a:ln w="9360">
      <a:noFill/>
    </a:ln>
  </c:sp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1" lang="pt-PT" sz="1400" strike="noStrike" u="none">
                <a:solidFill>
                  <a:srgbClr val="000000"/>
                </a:solidFill>
                <a:uFillTx/>
                <a:latin typeface="Times New Roman"/>
              </a:rPr>
              <a:t>Exames Complementares</a:t>
            </a:r>
          </a:p>
        </c:rich>
      </c:tx>
      <c:overlay val="0"/>
      <c:spPr>
        <a:noFill/>
        <a:ln w="0">
          <a:noFill/>
        </a:ln>
      </c:spPr>
    </c:title>
    <c:autoTitleDeleted val="0"/>
    <c:plotArea>
      <c:layout>
        <c:manualLayout>
          <c:layoutTarget val="inner"/>
          <c:xMode val="edge"/>
          <c:yMode val="edge"/>
          <c:x val="0.102875"/>
          <c:y val="0.168777777777778"/>
          <c:w val="0.824375"/>
          <c:h val="0.406888888888889"/>
        </c:manualLayout>
      </c:layout>
      <c:barChart>
        <c:barDir val="col"/>
        <c:grouping val="clustered"/>
        <c:varyColors val="0"/>
        <c:ser>
          <c:idx val="0"/>
          <c:order val="0"/>
          <c:tx>
            <c:strRef>
              <c:f>label 0</c:f>
              <c:strCache>
                <c:ptCount val="1"/>
                <c:pt idx="0">
                  <c:v>Series1</c:v>
                </c:pt>
              </c:strCache>
            </c:strRef>
          </c:tx>
          <c:spPr>
            <a:gradFill>
              <a:gsLst>
                <a:gs pos="0">
                  <a:srgbClr val="2e5f99"/>
                </a:gs>
                <a:gs pos="80000">
                  <a:srgbClr val="3c7ac7"/>
                </a:gs>
                <a:gs pos="100000">
                  <a:srgbClr val="397bca"/>
                </a:gs>
              </a:gsLst>
              <a:lin ang="16200000"/>
            </a:gradFill>
            <a:ln w="0">
              <a:noFill/>
            </a:ln>
          </c:spPr>
          <c:invertIfNegative val="0"/>
          <c:dPt>
            <c:idx val="0"/>
            <c:invertIfNegative val="0"/>
            <c:spPr>
              <a:gradFill>
                <a:gsLst>
                  <a:gs pos="0">
                    <a:srgbClr val="2e5f99"/>
                  </a:gs>
                  <a:gs pos="80000">
                    <a:srgbClr val="3c7ac7"/>
                  </a:gs>
                  <a:gs pos="100000">
                    <a:srgbClr val="397bca"/>
                  </a:gs>
                </a:gsLst>
                <a:lin ang="16200000"/>
              </a:gradFill>
              <a:ln w="0">
                <a:noFill/>
              </a:ln>
            </c:spPr>
          </c:dPt>
          <c:dPt>
            <c:idx val="1"/>
            <c:invertIfNegative val="0"/>
            <c:spPr>
              <a:gradFill>
                <a:gsLst>
                  <a:gs pos="0">
                    <a:srgbClr val="2e5f99"/>
                  </a:gs>
                  <a:gs pos="80000">
                    <a:srgbClr val="3c7ac7"/>
                  </a:gs>
                  <a:gs pos="100000">
                    <a:srgbClr val="397bca"/>
                  </a:gs>
                </a:gsLst>
                <a:lin ang="16200000"/>
              </a:gradFill>
              <a:ln w="0">
                <a:noFill/>
              </a:ln>
            </c:spPr>
          </c:dPt>
          <c:dPt>
            <c:idx val="2"/>
            <c:invertIfNegative val="0"/>
            <c:spPr>
              <a:gradFill>
                <a:gsLst>
                  <a:gs pos="0">
                    <a:srgbClr val="2e5f99"/>
                  </a:gs>
                  <a:gs pos="80000">
                    <a:srgbClr val="3c7ac7"/>
                  </a:gs>
                  <a:gs pos="100000">
                    <a:srgbClr val="397bca"/>
                  </a:gs>
                </a:gsLst>
                <a:lin ang="16200000"/>
              </a:gradFill>
              <a:ln w="0">
                <a:noFill/>
              </a:ln>
            </c:spPr>
          </c:dPt>
          <c:dPt>
            <c:idx val="3"/>
            <c:invertIfNegative val="0"/>
            <c:spPr>
              <a:gradFill>
                <a:gsLst>
                  <a:gs pos="0">
                    <a:srgbClr val="2e5f99"/>
                  </a:gs>
                  <a:gs pos="80000">
                    <a:srgbClr val="3c7ac7"/>
                  </a:gs>
                  <a:gs pos="100000">
                    <a:srgbClr val="397bca"/>
                  </a:gs>
                </a:gsLst>
                <a:lin ang="16200000"/>
              </a:gradFill>
              <a:ln w="0">
                <a:noFill/>
              </a:ln>
            </c:spPr>
          </c:dPt>
          <c:dPt>
            <c:idx val="4"/>
            <c:invertIfNegative val="0"/>
            <c:spPr>
              <a:gradFill>
                <a:gsLst>
                  <a:gs pos="0">
                    <a:srgbClr val="2e5f99"/>
                  </a:gs>
                  <a:gs pos="80000">
                    <a:srgbClr val="3c7ac7"/>
                  </a:gs>
                  <a:gs pos="100000">
                    <a:srgbClr val="397bca"/>
                  </a:gs>
                </a:gsLst>
                <a:lin ang="16200000"/>
              </a:gradFill>
              <a:ln w="0">
                <a:noFill/>
              </a:ln>
            </c:spPr>
          </c:dPt>
          <c:dPt>
            <c:idx val="5"/>
            <c:invertIfNegative val="0"/>
            <c:spPr>
              <a:gradFill>
                <a:gsLst>
                  <a:gs pos="0">
                    <a:srgbClr val="2e5f99"/>
                  </a:gs>
                  <a:gs pos="80000">
                    <a:srgbClr val="3c7ac7"/>
                  </a:gs>
                  <a:gs pos="100000">
                    <a:srgbClr val="397bca"/>
                  </a:gs>
                </a:gsLst>
                <a:lin ang="16200000"/>
              </a:gradFill>
              <a:ln w="0">
                <a:noFill/>
              </a:ln>
            </c:spPr>
          </c:dPt>
          <c:dPt>
            <c:idx val="6"/>
            <c:invertIfNegative val="0"/>
            <c:spPr>
              <a:gradFill>
                <a:gsLst>
                  <a:gs pos="0">
                    <a:srgbClr val="2e5f99"/>
                  </a:gs>
                  <a:gs pos="80000">
                    <a:srgbClr val="3c7ac7"/>
                  </a:gs>
                  <a:gs pos="100000">
                    <a:srgbClr val="397bca"/>
                  </a:gs>
                </a:gsLst>
                <a:lin ang="16200000"/>
              </a:gradFill>
              <a:ln w="0">
                <a:noFill/>
              </a:ln>
            </c:spPr>
          </c:dPt>
          <c:dPt>
            <c:idx val="7"/>
            <c:invertIfNegative val="0"/>
            <c:spPr>
              <a:gradFill>
                <a:gsLst>
                  <a:gs pos="0">
                    <a:srgbClr val="2e5f99"/>
                  </a:gs>
                  <a:gs pos="80000">
                    <a:srgbClr val="3c7ac7"/>
                  </a:gs>
                  <a:gs pos="100000">
                    <a:srgbClr val="397bca"/>
                  </a:gs>
                </a:gsLst>
                <a:lin ang="16200000"/>
              </a:gradFill>
              <a:ln w="0">
                <a:noFill/>
              </a:ln>
            </c:spPr>
          </c:dPt>
          <c:dPt>
            <c:idx val="8"/>
            <c:invertIfNegative val="0"/>
            <c:spPr>
              <a:gradFill>
                <a:gsLst>
                  <a:gs pos="0">
                    <a:srgbClr val="2e5f99"/>
                  </a:gs>
                  <a:gs pos="80000">
                    <a:srgbClr val="3c7ac7"/>
                  </a:gs>
                  <a:gs pos="100000">
                    <a:srgbClr val="397bca"/>
                  </a:gs>
                </a:gsLst>
                <a:lin ang="16200000"/>
              </a:gradFill>
              <a:ln w="0">
                <a:noFill/>
              </a:ln>
            </c:spPr>
          </c:dPt>
          <c:dPt>
            <c:idx val="9"/>
            <c:invertIfNegative val="0"/>
            <c:spPr>
              <a:gradFill>
                <a:gsLst>
                  <a:gs pos="0">
                    <a:srgbClr val="2e5f99"/>
                  </a:gs>
                  <a:gs pos="80000">
                    <a:srgbClr val="3c7ac7"/>
                  </a:gs>
                  <a:gs pos="100000">
                    <a:srgbClr val="397bca"/>
                  </a:gs>
                </a:gsLst>
                <a:lin ang="16200000"/>
              </a:gradFill>
              <a:ln w="0">
                <a:noFill/>
              </a:ln>
            </c:spPr>
          </c:dPt>
          <c:dPt>
            <c:idx val="10"/>
            <c:invertIfNegative val="0"/>
            <c:spPr>
              <a:gradFill>
                <a:gsLst>
                  <a:gs pos="0">
                    <a:srgbClr val="2e5f99"/>
                  </a:gs>
                  <a:gs pos="80000">
                    <a:srgbClr val="3c7ac7"/>
                  </a:gs>
                  <a:gs pos="100000">
                    <a:srgbClr val="397bca"/>
                  </a:gs>
                </a:gsLst>
                <a:lin ang="16200000"/>
              </a:gradFill>
              <a:ln w="0">
                <a:noFill/>
              </a:ln>
            </c:spPr>
          </c:dPt>
          <c:dLbls>
            <c:numFmt formatCode="#,##0" sourceLinked="0"/>
            <c:dLbl>
              <c:idx val="0"/>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14%</a:t>
                    </a:r>
                  </a:p>
                </c:rich>
              </c:tx>
              <c:dLblPos val="outEnd"/>
              <c:showLegendKey val="0"/>
              <c:showVal val="0"/>
              <c:showCatName val="0"/>
              <c:showSerName val="0"/>
              <c:showPercent val="0"/>
              <c:separator>; </c:separator>
            </c:dLbl>
            <c:dLbl>
              <c:idx val="1"/>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16%</a:t>
                    </a:r>
                  </a:p>
                </c:rich>
              </c:tx>
              <c:dLblPos val="outEnd"/>
              <c:showLegendKey val="0"/>
              <c:showVal val="0"/>
              <c:showCatName val="0"/>
              <c:showSerName val="0"/>
              <c:showPercent val="0"/>
              <c:separator>; </c:separator>
            </c:dLbl>
            <c:dLbl>
              <c:idx val="2"/>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4%</a:t>
                    </a:r>
                  </a:p>
                </c:rich>
              </c:tx>
              <c:dLblPos val="outEnd"/>
              <c:showLegendKey val="0"/>
              <c:showVal val="0"/>
              <c:showCatName val="0"/>
              <c:showSerName val="0"/>
              <c:showPercent val="0"/>
              <c:separator>; </c:separator>
            </c:dLbl>
            <c:dLbl>
              <c:idx val="3"/>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18%</a:t>
                    </a:r>
                  </a:p>
                </c:rich>
              </c:tx>
              <c:dLblPos val="outEnd"/>
              <c:showLegendKey val="0"/>
              <c:showVal val="0"/>
              <c:showCatName val="0"/>
              <c:showSerName val="0"/>
              <c:showPercent val="0"/>
              <c:separator>; </c:separator>
            </c:dLbl>
            <c:dLbl>
              <c:idx val="4"/>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0%</a:t>
                    </a:r>
                  </a:p>
                </c:rich>
              </c:tx>
              <c:dLblPos val="outEnd"/>
              <c:showLegendKey val="0"/>
              <c:showVal val="0"/>
              <c:showCatName val="0"/>
              <c:showSerName val="0"/>
              <c:showPercent val="0"/>
              <c:separator>; </c:separator>
            </c:dLbl>
            <c:dLbl>
              <c:idx val="5"/>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21%</a:t>
                    </a:r>
                  </a:p>
                </c:rich>
              </c:tx>
              <c:dLblPos val="outEnd"/>
              <c:showLegendKey val="0"/>
              <c:showVal val="0"/>
              <c:showCatName val="0"/>
              <c:showSerName val="0"/>
              <c:showPercent val="0"/>
              <c:separator>; </c:separator>
            </c:dLbl>
            <c:dLbl>
              <c:idx val="6"/>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a:t>
                    </a:r>
                  </a:p>
                </c:rich>
              </c:tx>
              <c:dLblPos val="outEnd"/>
              <c:showLegendKey val="0"/>
              <c:showVal val="0"/>
              <c:showCatName val="0"/>
              <c:showSerName val="0"/>
              <c:showPercent val="0"/>
              <c:separator>; </c:separator>
            </c:dLbl>
            <c:dLbl>
              <c:idx val="7"/>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2%</a:t>
                    </a:r>
                  </a:p>
                </c:rich>
              </c:tx>
              <c:dLblPos val="outEnd"/>
              <c:showLegendKey val="0"/>
              <c:showVal val="0"/>
              <c:showCatName val="0"/>
              <c:showSerName val="0"/>
              <c:showPercent val="0"/>
              <c:separator>; </c:separator>
            </c:dLbl>
            <c:dLbl>
              <c:idx val="8"/>
              <c:layout>
                <c:manualLayout>
                  <c:x val="0"/>
                  <c:y val="-0.0128617363344051"/>
                </c:manualLayout>
              </c:layout>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4%</a:t>
                    </a:r>
                  </a:p>
                </c:rich>
              </c:tx>
              <c:dLblPos val="outEnd"/>
              <c:showLegendKey val="0"/>
              <c:showVal val="0"/>
              <c:showCatName val="0"/>
              <c:showSerName val="0"/>
              <c:showPercent val="0"/>
              <c:separator>; </c:separator>
            </c:dLbl>
            <c:dLbl>
              <c:idx val="9"/>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0%</a:t>
                    </a:r>
                  </a:p>
                </c:rich>
              </c:tx>
              <c:dLblPos val="outEnd"/>
              <c:showLegendKey val="0"/>
              <c:showVal val="0"/>
              <c:showCatName val="0"/>
              <c:showSerName val="0"/>
              <c:showPercent val="0"/>
              <c:separator>; </c:separator>
            </c:dLbl>
            <c:dLbl>
              <c:idx val="10"/>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19%</a:t>
                    </a:r>
                  </a:p>
                </c:rich>
              </c:tx>
              <c:dLblPos val="outEnd"/>
              <c:showLegendKey val="0"/>
              <c:showVal val="0"/>
              <c:showCatName val="0"/>
              <c:showSerName val="0"/>
              <c:showPercent val="0"/>
              <c:separator>; </c:separator>
            </c:dLbl>
            <c:txPr>
              <a:bodyPr wrap="square"/>
              <a:lstStyle/>
              <a:p>
                <a:pPr>
                  <a:defRPr b="0" lang="pt-PT" sz="1100" strike="noStrike" u="none">
                    <a:solidFill>
                      <a:srgbClr val="000000"/>
                    </a:solidFill>
                    <a:uFillTx/>
                    <a:latin typeface="Times New Roman"/>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11"/>
                <c:pt idx="0">
                  <c:v>Biomicroscopia  Electrônica</c:v>
                </c:pt>
                <c:pt idx="1">
                  <c:v>Biometria</c:v>
                </c:pt>
                <c:pt idx="2">
                  <c:v>Campimetria</c:v>
                </c:pt>
                <c:pt idx="3">
                  <c:v>Ecografia</c:v>
                </c:pt>
                <c:pt idx="4">
                  <c:v>Topografia Corneal</c:v>
                </c:pt>
                <c:pt idx="5">
                  <c:v>OCT</c:v>
                </c:pt>
                <c:pt idx="6">
                  <c:v>Gonioscopia</c:v>
                </c:pt>
                <c:pt idx="7">
                  <c:v>Paquimetria</c:v>
                </c:pt>
                <c:pt idx="8">
                  <c:v>Tonometria</c:v>
                </c:pt>
                <c:pt idx="9">
                  <c:v>AUTO</c:v>
                </c:pt>
                <c:pt idx="10">
                  <c:v>Retinografia</c:v>
                </c:pt>
              </c:strCache>
            </c:strRef>
          </c:cat>
          <c:val>
            <c:numRef>
              <c:f>0</c:f>
              <c:numCache>
                <c:formatCode>General</c:formatCode>
                <c:ptCount val="11"/>
                <c:pt idx="0">
                  <c:v>337</c:v>
                </c:pt>
                <c:pt idx="1">
                  <c:v>379</c:v>
                </c:pt>
                <c:pt idx="2">
                  <c:v>83</c:v>
                </c:pt>
                <c:pt idx="3">
                  <c:v>424</c:v>
                </c:pt>
                <c:pt idx="4">
                  <c:v>9</c:v>
                </c:pt>
                <c:pt idx="5">
                  <c:v>488</c:v>
                </c:pt>
                <c:pt idx="6">
                  <c:v>21</c:v>
                </c:pt>
                <c:pt idx="7">
                  <c:v>38</c:v>
                </c:pt>
                <c:pt idx="8">
                  <c:v>99</c:v>
                </c:pt>
                <c:pt idx="9">
                  <c:v>1</c:v>
                </c:pt>
                <c:pt idx="10">
                  <c:v>448</c:v>
                </c:pt>
              </c:numCache>
            </c:numRef>
          </c:val>
        </c:ser>
        <c:gapWidth val="100"/>
        <c:overlap val="-24"/>
        <c:axId val="23611873"/>
        <c:axId val="71701436"/>
      </c:barChart>
      <c:catAx>
        <c:axId val="23611873"/>
        <c:scaling>
          <c:orientation val="minMax"/>
        </c:scaling>
        <c:delete val="0"/>
        <c:axPos val="b"/>
        <c:numFmt formatCode="General" sourceLinked="0"/>
        <c:majorTickMark val="none"/>
        <c:minorTickMark val="none"/>
        <c:tickLblPos val="nextTo"/>
        <c:spPr>
          <a:ln w="12600">
            <a:solidFill>
              <a:srgbClr val="d9d9d9"/>
            </a:solidFill>
            <a:round/>
          </a:ln>
        </c:spPr>
        <c:txPr>
          <a:bodyPr/>
          <a:lstStyle/>
          <a:p>
            <a:pPr>
              <a:defRPr b="0" lang="pt-PT" sz="1100" strike="noStrike" u="none">
                <a:solidFill>
                  <a:srgbClr val="000000"/>
                </a:solidFill>
                <a:uFillTx/>
                <a:latin typeface="Times New Roman"/>
              </a:defRPr>
            </a:pPr>
          </a:p>
        </c:txPr>
        <c:crossAx val="71701436"/>
        <c:crosses val="autoZero"/>
        <c:auto val="1"/>
        <c:lblAlgn val="ctr"/>
        <c:lblOffset val="100"/>
        <c:noMultiLvlLbl val="0"/>
      </c:catAx>
      <c:valAx>
        <c:axId val="71701436"/>
        <c:scaling>
          <c:orientation val="minMax"/>
        </c:scaling>
        <c:delete val="1"/>
        <c:axPos val="l"/>
        <c:numFmt formatCode="#,##0" sourceLinked="1"/>
        <c:majorTickMark val="none"/>
        <c:minorTickMark val="none"/>
        <c:tickLblPos val="nextTo"/>
        <c:spPr>
          <a:ln w="9360">
            <a:solidFill>
              <a:srgbClr val="878787"/>
            </a:solidFill>
            <a:round/>
          </a:ln>
        </c:spPr>
        <c:txPr>
          <a:bodyPr/>
          <a:lstStyle/>
          <a:p>
            <a:pPr>
              <a:defRPr b="0" lang="pt-PT" sz="1000" strike="noStrike" u="none">
                <a:solidFill>
                  <a:srgbClr val="000000"/>
                </a:solidFill>
                <a:uFillTx/>
                <a:latin typeface="Calibri"/>
              </a:defRPr>
            </a:pPr>
          </a:p>
        </c:txPr>
        <c:crossAx val="23611873"/>
        <c:crossBetween val="between"/>
      </c:valAx>
      <c:spPr>
        <a:noFill/>
        <a:ln w="0">
          <a:noFill/>
        </a:ln>
      </c:spPr>
    </c:plotArea>
    <c:plotVisOnly val="1"/>
    <c:dispBlanksAs val="gap"/>
  </c:chart>
  <c:spPr>
    <a:solidFill>
      <a:srgbClr val="ffffff"/>
    </a:solidFill>
    <a:ln w="9360">
      <a:noFill/>
    </a:ln>
  </c:spPr>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1" lang="en-US" sz="1200" strike="noStrike" u="none">
                <a:solidFill>
                  <a:srgbClr val="000000"/>
                </a:solidFill>
                <a:uFillTx/>
                <a:latin typeface="Times New Roman"/>
              </a:rPr>
              <a:t>Nível de Atenção</a:t>
            </a:r>
          </a:p>
        </c:rich>
      </c:tx>
      <c:overlay val="0"/>
      <c:spPr>
        <a:noFill/>
        <a:ln w="0">
          <a:noFill/>
        </a:ln>
      </c:spPr>
    </c:title>
    <c:autoTitleDeleted val="0"/>
    <c:plotArea>
      <c:pieChart>
        <c:varyColors val="1"/>
        <c:ser>
          <c:idx val="0"/>
          <c:order val="0"/>
          <c:tx>
            <c:strRef>
              <c:f>label 0</c:f>
              <c:strCache>
                <c:ptCount val="1"/>
                <c:pt idx="0">
                  <c:v>Series1</c:v>
                </c:pt>
              </c:strCache>
            </c:strRef>
          </c:tx>
          <c:spPr>
            <a:solidFill>
              <a:srgbClr val="4f81bd"/>
            </a:solidFill>
            <a:ln w="0">
              <a:noFill/>
            </a:ln>
          </c:spPr>
          <c:explosion val="0"/>
          <c:dPt>
            <c:idx val="0"/>
            <c:spPr>
              <a:solidFill>
                <a:srgbClr val="00b0f0"/>
              </a:solidFill>
              <a:ln w="0">
                <a:noFill/>
              </a:ln>
            </c:spPr>
          </c:dPt>
          <c:dPt>
            <c:idx val="1"/>
            <c:spPr>
              <a:solidFill>
                <a:srgbClr val="ffff00"/>
              </a:solidFill>
              <a:ln w="0">
                <a:noFill/>
              </a:ln>
            </c:spPr>
          </c:dPt>
          <c:dPt>
            <c:idx val="2"/>
            <c:spPr>
              <a:solidFill>
                <a:srgbClr val="92d050"/>
              </a:solidFill>
              <a:ln w="0">
                <a:noFill/>
              </a:ln>
            </c:spPr>
          </c:dPt>
          <c:dLbls>
            <c:numFmt formatCode="General" sourceLinked="1"/>
            <c:dLbl>
              <c:idx val="0"/>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84%</a:t>
                    </a:r>
                  </a:p>
                </c:rich>
              </c:tx>
              <c:dLblPos val="ctr"/>
              <c:showLegendKey val="0"/>
              <c:showVal val="0"/>
              <c:showCatName val="0"/>
              <c:showSerName val="0"/>
              <c:showPercent val="0"/>
              <c:separator>; </c:separator>
            </c:dLbl>
            <c:dLbl>
              <c:idx val="1"/>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2%</a:t>
                    </a:r>
                  </a:p>
                </c:rich>
              </c:tx>
              <c:dLblPos val="ctr"/>
              <c:showLegendKey val="0"/>
              <c:showVal val="0"/>
              <c:showCatName val="0"/>
              <c:showSerName val="0"/>
              <c:showPercent val="0"/>
              <c:separator>; </c:separator>
            </c:dLbl>
            <c:dLbl>
              <c:idx val="2"/>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14%</a:t>
                    </a:r>
                  </a:p>
                </c:rich>
              </c:tx>
              <c:dLblPos val="ctr"/>
              <c:showLegendKey val="0"/>
              <c:showVal val="0"/>
              <c:showCatName val="0"/>
              <c:showSerName val="0"/>
              <c:showPercent val="0"/>
              <c:separator>; </c:separator>
            </c:dLbl>
            <c:txPr>
              <a:bodyPr wrap="square"/>
              <a:lstStyle/>
              <a:p>
                <a:pPr>
                  <a:defRPr b="0" lang="pt-PT" sz="1200" strike="noStrike" u="none">
                    <a:solidFill>
                      <a:srgbClr val="000000"/>
                    </a:solidFill>
                    <a:uFillTx/>
                    <a:latin typeface="Times New Roman"/>
                  </a:defRPr>
                </a:pPr>
              </a:p>
            </c:txPr>
            <c:dLblPos val="ctr"/>
            <c:showLegendKey val="0"/>
            <c:showVal val="1"/>
            <c:showCatName val="0"/>
            <c:showSerName val="0"/>
            <c:showPercent val="1"/>
            <c:separator>; </c:separator>
            <c:showLeaderLines val="1"/>
            <c:leaderLines>
              <c:spPr>
                <a:ln w="0">
                  <a:solidFill>
                    <a:srgbClr val="a6a6a6"/>
                  </a:solidFill>
                </a:ln>
              </c:spPr>
            </c:leaderLines>
          </c:dLbls>
          <c:cat>
            <c:strRef>
              <c:f>categories</c:f>
              <c:strCache>
                <c:ptCount val="3"/>
                <c:pt idx="0">
                  <c:v>Nível Primário</c:v>
                </c:pt>
                <c:pt idx="1">
                  <c:v>Nível secundário</c:v>
                </c:pt>
                <c:pt idx="2">
                  <c:v>Nível Terciário</c:v>
                </c:pt>
              </c:strCache>
            </c:strRef>
          </c:cat>
          <c:val>
            <c:numRef>
              <c:f>0</c:f>
              <c:numCache>
                <c:formatCode>General</c:formatCode>
                <c:ptCount val="3"/>
                <c:pt idx="0">
                  <c:v>10099</c:v>
                </c:pt>
                <c:pt idx="1">
                  <c:v>491</c:v>
                </c:pt>
                <c:pt idx="2">
                  <c:v>2065</c:v>
                </c:pt>
              </c:numCache>
            </c:numRef>
          </c:val>
        </c:ser>
        <c:firstSliceAng val="0"/>
      </c:pieChart>
      <c:spPr>
        <a:noFill/>
        <a:ln w="0">
          <a:noFill/>
        </a:ln>
      </c:spPr>
    </c:plotArea>
    <c:legend>
      <c:legendPos val="b"/>
      <c:overlay val="0"/>
      <c:spPr>
        <a:noFill/>
        <a:ln w="0">
          <a:noFill/>
        </a:ln>
      </c:spPr>
      <c:txPr>
        <a:bodyPr/>
        <a:lstStyle/>
        <a:p>
          <a:pPr>
            <a:defRPr b="0" lang="pt-PT" sz="1200" strike="noStrike" u="none">
              <a:solidFill>
                <a:srgbClr val="000000"/>
              </a:solidFill>
              <a:uFillTx/>
              <a:latin typeface="Times New Roman"/>
            </a:defRPr>
          </a:pPr>
        </a:p>
      </c:txPr>
    </c:legend>
    <c:plotVisOnly val="1"/>
    <c:dispBlanksAs val="gap"/>
  </c:chart>
  <c:spPr>
    <a:solidFill>
      <a:srgbClr val="ffffff"/>
    </a:solidFill>
    <a:ln w="9360">
      <a:noFill/>
    </a:ln>
  </c:spPr>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1" lang="pt-PT" sz="1200" strike="noStrike" u="none">
                <a:solidFill>
                  <a:srgbClr val="000000"/>
                </a:solidFill>
                <a:uFillTx/>
                <a:latin typeface="Times New Roman"/>
              </a:rPr>
              <a:t>Proveniência por Província</a:t>
            </a:r>
          </a:p>
        </c:rich>
      </c:tx>
      <c:overlay val="0"/>
      <c:spPr>
        <a:noFill/>
        <a:ln w="0">
          <a:noFill/>
        </a:ln>
      </c:spPr>
    </c:title>
    <c:autoTitleDeleted val="0"/>
    <c:plotArea>
      <c:barChart>
        <c:barDir val="col"/>
        <c:grouping val="clustered"/>
        <c:varyColors val="0"/>
        <c:ser>
          <c:idx val="0"/>
          <c:order val="0"/>
          <c:tx>
            <c:strRef>
              <c:f>label 0</c:f>
              <c:strCache>
                <c:ptCount val="1"/>
                <c:pt idx="0">
                  <c:v>Series1</c:v>
                </c:pt>
              </c:strCache>
            </c:strRef>
          </c:tx>
          <c:spPr>
            <a:solidFill>
              <a:srgbClr val="ff0000"/>
            </a:solidFill>
            <a:ln w="0">
              <a:noFill/>
            </a:ln>
          </c:spPr>
          <c:invertIfNegative val="0"/>
          <c:dPt>
            <c:idx val="0"/>
            <c:invertIfNegative val="0"/>
            <c:spPr>
              <a:solidFill>
                <a:srgbClr val="ff0000"/>
              </a:solidFill>
              <a:ln w="0">
                <a:noFill/>
              </a:ln>
            </c:spPr>
          </c:dPt>
          <c:dPt>
            <c:idx val="1"/>
            <c:invertIfNegative val="0"/>
            <c:spPr>
              <a:solidFill>
                <a:srgbClr val="ff0000"/>
              </a:solidFill>
              <a:ln w="0">
                <a:noFill/>
              </a:ln>
            </c:spPr>
          </c:dPt>
          <c:dPt>
            <c:idx val="2"/>
            <c:invertIfNegative val="0"/>
            <c:spPr>
              <a:solidFill>
                <a:srgbClr val="ff0000"/>
              </a:solidFill>
              <a:ln w="0">
                <a:noFill/>
              </a:ln>
            </c:spPr>
          </c:dPt>
          <c:dPt>
            <c:idx val="3"/>
            <c:invertIfNegative val="0"/>
            <c:spPr>
              <a:solidFill>
                <a:srgbClr val="ff0000"/>
              </a:solidFill>
              <a:ln w="0">
                <a:noFill/>
              </a:ln>
            </c:spPr>
          </c:dPt>
          <c:dPt>
            <c:idx val="4"/>
            <c:invertIfNegative val="0"/>
            <c:spPr>
              <a:solidFill>
                <a:srgbClr val="ff0000"/>
              </a:solidFill>
              <a:ln w="0">
                <a:noFill/>
              </a:ln>
            </c:spPr>
          </c:dPt>
          <c:dPt>
            <c:idx val="5"/>
            <c:invertIfNegative val="0"/>
            <c:spPr>
              <a:solidFill>
                <a:srgbClr val="ff0000"/>
              </a:solidFill>
              <a:ln w="0">
                <a:noFill/>
              </a:ln>
            </c:spPr>
          </c:dPt>
          <c:dPt>
            <c:idx val="6"/>
            <c:invertIfNegative val="0"/>
            <c:spPr>
              <a:solidFill>
                <a:srgbClr val="ff0000"/>
              </a:solidFill>
              <a:ln w="0">
                <a:noFill/>
              </a:ln>
            </c:spPr>
          </c:dPt>
          <c:dPt>
            <c:idx val="7"/>
            <c:invertIfNegative val="0"/>
            <c:spPr>
              <a:solidFill>
                <a:srgbClr val="ff0000"/>
              </a:solidFill>
              <a:ln w="0">
                <a:noFill/>
              </a:ln>
            </c:spPr>
          </c:dPt>
          <c:dPt>
            <c:idx val="8"/>
            <c:invertIfNegative val="0"/>
            <c:spPr>
              <a:solidFill>
                <a:srgbClr val="ff0000"/>
              </a:solidFill>
              <a:ln w="0">
                <a:noFill/>
              </a:ln>
            </c:spPr>
          </c:dPt>
          <c:dPt>
            <c:idx val="9"/>
            <c:invertIfNegative val="0"/>
            <c:spPr>
              <a:solidFill>
                <a:srgbClr val="ff0000"/>
              </a:solidFill>
              <a:ln w="0">
                <a:noFill/>
              </a:ln>
            </c:spPr>
          </c:dPt>
          <c:dPt>
            <c:idx val="10"/>
            <c:invertIfNegative val="0"/>
            <c:spPr>
              <a:solidFill>
                <a:srgbClr val="ff0000"/>
              </a:solidFill>
              <a:ln w="0">
                <a:noFill/>
              </a:ln>
            </c:spPr>
          </c:dPt>
          <c:dLbls>
            <c:numFmt formatCode="General" sourceLinked="0"/>
            <c:dLbl>
              <c:idx val="0"/>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2%</a:t>
                    </a:r>
                  </a:p>
                </c:rich>
              </c:tx>
              <c:dLblPos val="outEnd"/>
              <c:showLegendKey val="0"/>
              <c:showVal val="0"/>
              <c:showCatName val="0"/>
              <c:showSerName val="0"/>
              <c:showPercent val="0"/>
              <c:separator>; </c:separator>
            </c:dLbl>
            <c:dLbl>
              <c:idx val="1"/>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0%</a:t>
                    </a:r>
                  </a:p>
                </c:rich>
              </c:tx>
              <c:dLblPos val="outEnd"/>
              <c:showLegendKey val="0"/>
              <c:showVal val="0"/>
              <c:showCatName val="0"/>
              <c:showSerName val="0"/>
              <c:showPercent val="0"/>
              <c:separator>; </c:separator>
            </c:dLbl>
            <c:dLbl>
              <c:idx val="2"/>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0%</a:t>
                    </a:r>
                  </a:p>
                </c:rich>
              </c:tx>
              <c:dLblPos val="outEnd"/>
              <c:showLegendKey val="0"/>
              <c:showVal val="0"/>
              <c:showCatName val="0"/>
              <c:showSerName val="0"/>
              <c:showPercent val="0"/>
              <c:separator>; </c:separator>
            </c:dLbl>
            <c:dLbl>
              <c:idx val="3"/>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a:t>
                    </a:r>
                  </a:p>
                </c:rich>
              </c:tx>
              <c:dLblPos val="outEnd"/>
              <c:showLegendKey val="0"/>
              <c:showVal val="0"/>
              <c:showCatName val="0"/>
              <c:showSerName val="0"/>
              <c:showPercent val="0"/>
              <c:separator>; </c:separator>
            </c:dLbl>
            <c:dLbl>
              <c:idx val="4"/>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0%</a:t>
                    </a:r>
                  </a:p>
                </c:rich>
              </c:tx>
              <c:dLblPos val="outEnd"/>
              <c:showLegendKey val="0"/>
              <c:showVal val="0"/>
              <c:showCatName val="0"/>
              <c:showSerName val="0"/>
              <c:showPercent val="0"/>
              <c:separator>; </c:separator>
            </c:dLbl>
            <c:dLbl>
              <c:idx val="5"/>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a:t>
                    </a:r>
                  </a:p>
                </c:rich>
              </c:tx>
              <c:dLblPos val="outEnd"/>
              <c:showLegendKey val="0"/>
              <c:showVal val="0"/>
              <c:showCatName val="0"/>
              <c:showSerName val="0"/>
              <c:showPercent val="0"/>
              <c:separator>; </c:separator>
            </c:dLbl>
            <c:dLbl>
              <c:idx val="6"/>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95%</a:t>
                    </a:r>
                  </a:p>
                </c:rich>
              </c:tx>
              <c:dLblPos val="outEnd"/>
              <c:showLegendKey val="0"/>
              <c:showVal val="0"/>
              <c:showCatName val="0"/>
              <c:showSerName val="0"/>
              <c:showPercent val="0"/>
              <c:separator>; </c:separator>
            </c:dLbl>
            <c:dLbl>
              <c:idx val="7"/>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1%</a:t>
                    </a:r>
                  </a:p>
                </c:rich>
              </c:tx>
              <c:dLblPos val="outEnd"/>
              <c:showLegendKey val="0"/>
              <c:showVal val="0"/>
              <c:showCatName val="0"/>
              <c:showSerName val="0"/>
              <c:showPercent val="0"/>
              <c:separator>; </c:separator>
            </c:dLbl>
            <c:dLbl>
              <c:idx val="8"/>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0%</a:t>
                    </a:r>
                  </a:p>
                </c:rich>
              </c:tx>
              <c:dLblPos val="outEnd"/>
              <c:showLegendKey val="0"/>
              <c:showVal val="0"/>
              <c:showCatName val="0"/>
              <c:showSerName val="0"/>
              <c:showPercent val="0"/>
              <c:separator>; </c:separator>
            </c:dLbl>
            <c:dLbl>
              <c:idx val="9"/>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0%</a:t>
                    </a:r>
                  </a:p>
                </c:rich>
              </c:tx>
              <c:dLblPos val="outEnd"/>
              <c:showLegendKey val="0"/>
              <c:showVal val="0"/>
              <c:showCatName val="0"/>
              <c:showSerName val="0"/>
              <c:showPercent val="0"/>
              <c:separator>; </c:separator>
            </c:dLbl>
            <c:dLbl>
              <c:idx val="10"/>
              <c:txPr>
                <a:bodyPr wrap="square"/>
                <a:lstStyle/>
                <a:p>
                  <a:pPr>
                    <a:defRPr b="0" lang="pt-PT" sz="1100" strike="noStrike" u="none">
                      <a:solidFill>
                        <a:srgbClr val="000000"/>
                      </a:solidFill>
                      <a:uFillTx/>
                      <a:latin typeface="Times New Roman"/>
                    </a:defRPr>
                  </a:pPr>
                </a:p>
              </c:txPr>
              <c:tx>
                <c:rich>
                  <a:bodyPr/>
                  <a:p>
                    <a:r>
                      <a:rPr b="0" lang="pt-PT" sz="1100" strike="noStrike" u="none">
                        <a:solidFill>
                          <a:srgbClr val="000000"/>
                        </a:solidFill>
                        <a:uFillTx/>
                        <a:latin typeface="Times New Roman"/>
                      </a:rPr>
                      <a:t>0%</a:t>
                    </a:r>
                  </a:p>
                </c:rich>
              </c:tx>
              <c:dLblPos val="outEnd"/>
              <c:showLegendKey val="0"/>
              <c:showVal val="0"/>
              <c:showCatName val="0"/>
              <c:showSerName val="0"/>
              <c:showPercent val="0"/>
              <c:separator>; </c:separator>
            </c:dLbl>
            <c:txPr>
              <a:bodyPr wrap="square"/>
              <a:lstStyle/>
              <a:p>
                <a:pPr>
                  <a:defRPr b="0" lang="pt-PT" sz="1100" strike="noStrike" u="none">
                    <a:solidFill>
                      <a:srgbClr val="000000"/>
                    </a:solidFill>
                    <a:uFillTx/>
                    <a:latin typeface="Times New Roman"/>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11"/>
                <c:pt idx="0">
                  <c:v>Bengo</c:v>
                </c:pt>
                <c:pt idx="1">
                  <c:v>Benguela</c:v>
                </c:pt>
                <c:pt idx="2">
                  <c:v>Cuanza Sul</c:v>
                </c:pt>
                <c:pt idx="3">
                  <c:v>Cuanza Norte</c:v>
                </c:pt>
                <c:pt idx="4">
                  <c:v>Huambo</c:v>
                </c:pt>
                <c:pt idx="5">
                  <c:v>Uíge</c:v>
                </c:pt>
                <c:pt idx="6">
                  <c:v>Luanda</c:v>
                </c:pt>
                <c:pt idx="7">
                  <c:v>Malanje</c:v>
                </c:pt>
                <c:pt idx="8">
                  <c:v>Bié</c:v>
                </c:pt>
                <c:pt idx="9">
                  <c:v>Zaire</c:v>
                </c:pt>
                <c:pt idx="10">
                  <c:v>Lunda Norte</c:v>
                </c:pt>
              </c:strCache>
            </c:strRef>
          </c:cat>
          <c:val>
            <c:numRef>
              <c:f>0</c:f>
              <c:numCache>
                <c:formatCode>General</c:formatCode>
                <c:ptCount val="11"/>
                <c:pt idx="0">
                  <c:v>26</c:v>
                </c:pt>
                <c:pt idx="1">
                  <c:v>1</c:v>
                </c:pt>
                <c:pt idx="2">
                  <c:v>2</c:v>
                </c:pt>
                <c:pt idx="3">
                  <c:v>8</c:v>
                </c:pt>
                <c:pt idx="4">
                  <c:v>2</c:v>
                </c:pt>
                <c:pt idx="5">
                  <c:v>8</c:v>
                </c:pt>
                <c:pt idx="6">
                  <c:v>1358</c:v>
                </c:pt>
                <c:pt idx="7">
                  <c:v>8</c:v>
                </c:pt>
                <c:pt idx="8">
                  <c:v>3</c:v>
                </c:pt>
                <c:pt idx="9">
                  <c:v>3</c:v>
                </c:pt>
                <c:pt idx="10">
                  <c:v>1</c:v>
                </c:pt>
              </c:numCache>
            </c:numRef>
          </c:val>
        </c:ser>
        <c:gapWidth val="150"/>
        <c:overlap val="0"/>
        <c:axId val="4761075"/>
        <c:axId val="76078806"/>
      </c:barChart>
      <c:catAx>
        <c:axId val="4761075"/>
        <c:scaling>
          <c:orientation val="minMax"/>
        </c:scaling>
        <c:delete val="0"/>
        <c:axPos val="b"/>
        <c:numFmt formatCode="General" sourceLinked="0"/>
        <c:majorTickMark val="none"/>
        <c:minorTickMark val="none"/>
        <c:tickLblPos val="nextTo"/>
        <c:spPr>
          <a:ln w="12600">
            <a:solidFill>
              <a:srgbClr val="d9d9d9"/>
            </a:solidFill>
            <a:round/>
          </a:ln>
        </c:spPr>
        <c:txPr>
          <a:bodyPr/>
          <a:lstStyle/>
          <a:p>
            <a:pPr>
              <a:defRPr b="0" lang="pt-PT" sz="1050" strike="noStrike" u="none">
                <a:solidFill>
                  <a:srgbClr val="000000"/>
                </a:solidFill>
                <a:uFillTx/>
                <a:latin typeface="Times New Roman"/>
              </a:defRPr>
            </a:pPr>
          </a:p>
        </c:txPr>
        <c:crossAx val="76078806"/>
        <c:crosses val="autoZero"/>
        <c:auto val="1"/>
        <c:lblAlgn val="ctr"/>
        <c:lblOffset val="100"/>
        <c:noMultiLvlLbl val="0"/>
      </c:catAx>
      <c:valAx>
        <c:axId val="76078806"/>
        <c:scaling>
          <c:orientation val="minMax"/>
        </c:scaling>
        <c:delete val="1"/>
        <c:axPos val="l"/>
        <c:numFmt formatCode="General" sourceLinked="1"/>
        <c:majorTickMark val="none"/>
        <c:minorTickMark val="none"/>
        <c:tickLblPos val="nextTo"/>
        <c:spPr>
          <a:ln w="9360">
            <a:solidFill>
              <a:srgbClr val="878787"/>
            </a:solidFill>
            <a:round/>
          </a:ln>
        </c:spPr>
        <c:txPr>
          <a:bodyPr/>
          <a:lstStyle/>
          <a:p>
            <a:pPr>
              <a:defRPr b="0" lang="pt-PT" sz="1000" strike="noStrike" u="none">
                <a:solidFill>
                  <a:srgbClr val="000000"/>
                </a:solidFill>
                <a:uFillTx/>
                <a:latin typeface="Calibri"/>
              </a:defRPr>
            </a:pPr>
          </a:p>
        </c:txPr>
        <c:crossAx val="4761075"/>
        <c:crossBetween val="between"/>
      </c:valAx>
      <c:spPr>
        <a:noFill/>
        <a:ln w="0">
          <a:noFill/>
        </a:ln>
      </c:spPr>
    </c:plotArea>
    <c:plotVisOnly val="1"/>
    <c:dispBlanksAs val="gap"/>
  </c:chart>
  <c:spPr>
    <a:solidFill>
      <a:srgbClr val="ffffff"/>
    </a:solidFill>
    <a:ln w="9360">
      <a:noFill/>
    </a:ln>
  </c:spPr>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1" lang="pt-PT" sz="1200" strike="noStrike" u="none">
                <a:solidFill>
                  <a:srgbClr val="000000"/>
                </a:solidFill>
                <a:uFillTx/>
                <a:latin typeface="Times New Roman"/>
              </a:rPr>
              <a:t>Pacientes Observados por Grupo Etário</a:t>
            </a:r>
          </a:p>
        </c:rich>
      </c:tx>
      <c:overlay val="0"/>
      <c:spPr>
        <a:noFill/>
        <a:ln w="0">
          <a:noFill/>
        </a:ln>
      </c:spPr>
    </c:title>
    <c:autoTitleDeleted val="0"/>
    <c:plotArea>
      <c:pieChart>
        <c:varyColors val="1"/>
        <c:ser>
          <c:idx val="0"/>
          <c:order val="0"/>
          <c:tx>
            <c:strRef>
              <c:f>label 0</c:f>
              <c:strCache>
                <c:ptCount val="1"/>
                <c:pt idx="0">
                  <c:v>Series1</c:v>
                </c:pt>
              </c:strCache>
            </c:strRef>
          </c:tx>
          <c:spPr>
            <a:solidFill>
              <a:srgbClr val="4f81bd"/>
            </a:solidFill>
            <a:ln w="0">
              <a:noFill/>
            </a:ln>
          </c:spPr>
          <c:explosion val="0"/>
          <c:dPt>
            <c:idx val="0"/>
            <c:spPr>
              <a:solidFill>
                <a:srgbClr val="0070c0"/>
              </a:solidFill>
              <a:ln w="19080">
                <a:solidFill>
                  <a:srgbClr val="ffffff"/>
                </a:solidFill>
                <a:round/>
              </a:ln>
            </c:spPr>
          </c:dPt>
          <c:dPt>
            <c:idx val="1"/>
            <c:spPr>
              <a:solidFill>
                <a:srgbClr val="953735"/>
              </a:solidFill>
              <a:ln w="19080">
                <a:solidFill>
                  <a:srgbClr val="ffffff"/>
                </a:solidFill>
                <a:round/>
              </a:ln>
            </c:spPr>
          </c:dPt>
          <c:dPt>
            <c:idx val="2"/>
            <c:spPr>
              <a:solidFill>
                <a:srgbClr val="00b050"/>
              </a:solidFill>
              <a:ln w="19080">
                <a:solidFill>
                  <a:srgbClr val="ffffff"/>
                </a:solidFill>
                <a:round/>
              </a:ln>
            </c:spPr>
          </c:dPt>
          <c:dLbls>
            <c:dLbl>
              <c:idx val="0"/>
              <c:txPr>
                <a:bodyPr wrap="square"/>
                <a:lstStyle/>
                <a:p>
                  <a:pPr>
                    <a:defRPr b="1" lang="pt-PT" sz="1100" strike="noStrike" u="none">
                      <a:solidFill>
                        <a:srgbClr val="000000"/>
                      </a:solidFill>
                      <a:uFillTx/>
                      <a:latin typeface="Times New Roman"/>
                    </a:defRPr>
                  </a:pPr>
                </a:p>
              </c:txPr>
              <c:dLblPos val="inEnd"/>
              <c:showLegendKey val="0"/>
              <c:showVal val="0"/>
              <c:showCatName val="0"/>
              <c:showSerName val="0"/>
              <c:showPercent val="1"/>
              <c:separator>
</c:separator>
            </c:dLbl>
            <c:dLbl>
              <c:idx val="1"/>
              <c:txPr>
                <a:bodyPr wrap="square"/>
                <a:lstStyle/>
                <a:p>
                  <a:pPr>
                    <a:defRPr b="1" lang="pt-PT" sz="1100" strike="noStrike" u="none">
                      <a:solidFill>
                        <a:srgbClr val="000000"/>
                      </a:solidFill>
                      <a:uFillTx/>
                      <a:latin typeface="Times New Roman"/>
                    </a:defRPr>
                  </a:pPr>
                </a:p>
              </c:txPr>
              <c:tx>
                <c:rich>
                  <a:bodyPr/>
                  <a:p>
                    <a:r>
                      <a:rPr b="1" lang="pt-PT" sz="1100" strike="noStrike" u="none">
                        <a:solidFill>
                          <a:srgbClr val="000000"/>
                        </a:solidFill>
                        <a:uFillTx/>
                        <a:latin typeface="Times New Roman"/>
                      </a:rPr>
                      <a:t>33%</a:t>
                    </a:r>
                  </a:p>
                </c:rich>
              </c:tx>
              <c:dLblPos val="inEnd"/>
              <c:showLegendKey val="0"/>
              <c:showVal val="0"/>
              <c:showCatName val="0"/>
              <c:showSerName val="0"/>
              <c:showPercent val="0"/>
              <c:separator>
</c:separator>
            </c:dLbl>
            <c:dLbl>
              <c:idx val="2"/>
              <c:txPr>
                <a:bodyPr wrap="square"/>
                <a:lstStyle/>
                <a:p>
                  <a:pPr>
                    <a:defRPr b="1" lang="pt-PT" sz="1100" strike="noStrike" u="none">
                      <a:solidFill>
                        <a:srgbClr val="000000"/>
                      </a:solidFill>
                      <a:uFillTx/>
                      <a:latin typeface="Times New Roman"/>
                    </a:defRPr>
                  </a:pPr>
                </a:p>
              </c:txPr>
              <c:tx>
                <c:rich>
                  <a:bodyPr/>
                  <a:p>
                    <a:r>
                      <a:rPr b="1" lang="pt-PT" sz="1100" strike="noStrike" u="none">
                        <a:solidFill>
                          <a:srgbClr val="000000"/>
                        </a:solidFill>
                        <a:uFillTx/>
                        <a:latin typeface="Times New Roman"/>
                      </a:rPr>
                      <a:t>18%</a:t>
                    </a:r>
                  </a:p>
                </c:rich>
              </c:tx>
              <c:dLblPos val="inEnd"/>
              <c:showLegendKey val="0"/>
              <c:showVal val="0"/>
              <c:showCatName val="0"/>
              <c:showSerName val="0"/>
              <c:showPercent val="0"/>
              <c:separator>
</c:separator>
            </c:dLbl>
            <c:txPr>
              <a:bodyPr wrap="square"/>
              <a:lstStyle/>
              <a:p>
                <a:pPr>
                  <a:defRPr b="1" lang="pt-PT" sz="1100" strike="noStrike" u="none">
                    <a:solidFill>
                      <a:srgbClr val="000000"/>
                    </a:solidFill>
                    <a:uFillTx/>
                    <a:latin typeface="Times New Roman"/>
                  </a:defRPr>
                </a:pPr>
              </a:p>
            </c:txPr>
            <c:dLblPos val="inEnd"/>
            <c:showLegendKey val="0"/>
            <c:showVal val="0"/>
            <c:showCatName val="0"/>
            <c:showSerName val="0"/>
            <c:showPercent val="1"/>
            <c:separator>
</c:separator>
            <c:showLeaderLines val="1"/>
            <c:leaderLines>
              <c:spPr>
                <a:ln w="0">
                  <a:solidFill>
                    <a:srgbClr val="a6a6a6"/>
                  </a:solidFill>
                </a:ln>
              </c:spPr>
            </c:leaderLines>
          </c:dLbls>
          <c:cat>
            <c:strRef>
              <c:f>categories</c:f>
              <c:strCache>
                <c:ptCount val="3"/>
                <c:pt idx="0">
                  <c:v>45-64 A</c:v>
                </c:pt>
                <c:pt idx="1">
                  <c:v>65A +</c:v>
                </c:pt>
                <c:pt idx="2">
                  <c:v>Outros</c:v>
                </c:pt>
              </c:strCache>
            </c:strRef>
          </c:cat>
          <c:val>
            <c:numRef>
              <c:f>0</c:f>
              <c:numCache>
                <c:formatCode>General</c:formatCode>
                <c:ptCount val="3"/>
                <c:pt idx="0">
                  <c:v>569</c:v>
                </c:pt>
                <c:pt idx="1">
                  <c:v>339</c:v>
                </c:pt>
                <c:pt idx="2">
                  <c:v>256</c:v>
                </c:pt>
              </c:numCache>
            </c:numRef>
          </c:val>
        </c:ser>
        <c:firstSliceAng val="0"/>
      </c:pieChart>
      <c:spPr>
        <a:noFill/>
        <a:ln w="0">
          <a:noFill/>
        </a:ln>
      </c:spPr>
    </c:plotArea>
    <c:legend>
      <c:legendPos val="b"/>
      <c:overlay val="0"/>
      <c:spPr>
        <a:noFill/>
        <a:ln w="0">
          <a:noFill/>
        </a:ln>
      </c:spPr>
      <c:txPr>
        <a:bodyPr/>
        <a:lstStyle/>
        <a:p>
          <a:pPr>
            <a:defRPr b="0" lang="pt-PT" sz="1100" strike="noStrike" u="none">
              <a:solidFill>
                <a:srgbClr val="000000"/>
              </a:solidFill>
              <a:uFillTx/>
              <a:latin typeface="Times New Roman"/>
            </a:defRPr>
          </a:pPr>
        </a:p>
      </c:txPr>
    </c:legend>
    <c:plotVisOnly val="1"/>
    <c:dispBlanksAs val="gap"/>
  </c:chart>
  <c:spPr>
    <a:solidFill>
      <a:srgbClr val="ffffff"/>
    </a:solidFill>
    <a:ln w="9360">
      <a:noFill/>
    </a:ln>
  </c:spPr>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1" lang="pt-PT" sz="1400" strike="noStrike" u="none">
                <a:solidFill>
                  <a:srgbClr val="000000"/>
                </a:solidFill>
                <a:uFillTx/>
                <a:latin typeface="Times New Roman"/>
              </a:rPr>
              <a:t>Patologias mais Frequentes</a:t>
            </a:r>
          </a:p>
        </c:rich>
      </c:tx>
      <c:overlay val="0"/>
      <c:spPr>
        <a:noFill/>
        <a:ln w="0">
          <a:noFill/>
        </a:ln>
      </c:spPr>
    </c:title>
    <c:autoTitleDeleted val="0"/>
    <c:plotArea>
      <c:layout>
        <c:manualLayout>
          <c:layoutTarget val="inner"/>
          <c:xMode val="edge"/>
          <c:yMode val="edge"/>
          <c:x val="0.082625"/>
          <c:y val="0.194888888888889"/>
          <c:w val="0.8206875"/>
          <c:h val="0.560555555555556"/>
        </c:manualLayout>
      </c:layout>
      <c:barChart>
        <c:barDir val="col"/>
        <c:grouping val="clustered"/>
        <c:varyColors val="0"/>
        <c:ser>
          <c:idx val="0"/>
          <c:order val="0"/>
          <c:tx>
            <c:strRef>
              <c:f>label 0</c:f>
              <c:strCache>
                <c:ptCount val="1"/>
                <c:pt idx="0">
                  <c:v>Series1</c:v>
                </c:pt>
              </c:strCache>
            </c:strRef>
          </c:tx>
          <c:spPr>
            <a:solidFill>
              <a:srgbClr val="4f81bd"/>
            </a:solidFill>
            <a:ln w="0">
              <a:noFill/>
            </a:ln>
          </c:spPr>
          <c:invertIfNegative val="0"/>
          <c:dLbls>
            <c:numFmt formatCode="General" sourceLinked="0"/>
            <c:txPr>
              <a:bodyPr wrap="square"/>
              <a:lstStyle/>
              <a:p>
                <a:pPr>
                  <a:defRPr b="0" lang="pt-PT"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HTA</c:v>
                </c:pt>
                <c:pt idx="1">
                  <c:v>Diabetes Mellitus</c:v>
                </c:pt>
                <c:pt idx="2">
                  <c:v>Dengue</c:v>
                </c:pt>
                <c:pt idx="3">
                  <c:v>Outros</c:v>
                </c:pt>
              </c:strCache>
            </c:strRef>
          </c:cat>
          <c:val>
            <c:numRef>
              <c:f>0</c:f>
              <c:numCache>
                <c:formatCode>General</c:formatCode>
                <c:ptCount val="4"/>
              </c:numCache>
            </c:numRef>
          </c:val>
        </c:ser>
        <c:ser>
          <c:idx val="1"/>
          <c:order val="1"/>
          <c:tx>
            <c:strRef>
              <c:f>label 1</c:f>
              <c:strCache>
                <c:ptCount val="1"/>
                <c:pt idx="0">
                  <c:v>Series2</c:v>
                </c:pt>
              </c:strCache>
            </c:strRef>
          </c:tx>
          <c:spPr>
            <a:solidFill>
              <a:srgbClr val="00b050"/>
            </a:solidFill>
            <a:ln w="0">
              <a:noFill/>
            </a:ln>
          </c:spPr>
          <c:invertIfNegative val="0"/>
          <c:dPt>
            <c:idx val="0"/>
            <c:invertIfNegative val="0"/>
            <c:spPr>
              <a:solidFill>
                <a:srgbClr val="00b050"/>
              </a:solidFill>
              <a:ln w="0">
                <a:noFill/>
              </a:ln>
            </c:spPr>
          </c:dPt>
          <c:dPt>
            <c:idx val="1"/>
            <c:invertIfNegative val="0"/>
            <c:spPr>
              <a:solidFill>
                <a:srgbClr val="00b050"/>
              </a:solidFill>
              <a:ln w="0">
                <a:noFill/>
              </a:ln>
            </c:spPr>
          </c:dPt>
          <c:dPt>
            <c:idx val="2"/>
            <c:invertIfNegative val="0"/>
            <c:spPr>
              <a:solidFill>
                <a:srgbClr val="00b050"/>
              </a:solidFill>
              <a:ln w="0">
                <a:noFill/>
              </a:ln>
            </c:spPr>
          </c:dPt>
          <c:dPt>
            <c:idx val="3"/>
            <c:invertIfNegative val="0"/>
            <c:spPr>
              <a:solidFill>
                <a:srgbClr val="00b050"/>
              </a:solidFill>
              <a:ln w="0">
                <a:noFill/>
              </a:ln>
            </c:spPr>
          </c:dPt>
          <c:dLbls>
            <c:numFmt formatCode="General" sourceLinked="0"/>
            <c:dLbl>
              <c:idx val="0"/>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59%</a:t>
                    </a:r>
                  </a:p>
                </c:rich>
              </c:tx>
              <c:dLblPos val="outEnd"/>
              <c:showLegendKey val="0"/>
              <c:showVal val="0"/>
              <c:showCatName val="0"/>
              <c:showSerName val="0"/>
              <c:showPercent val="0"/>
              <c:separator>; </c:separator>
            </c:dLbl>
            <c:dLbl>
              <c:idx val="1"/>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25%</a:t>
                    </a:r>
                  </a:p>
                </c:rich>
              </c:tx>
              <c:dLblPos val="outEnd"/>
              <c:showLegendKey val="0"/>
              <c:showVal val="0"/>
              <c:showCatName val="0"/>
              <c:showSerName val="0"/>
              <c:showPercent val="0"/>
              <c:separator>; </c:separator>
            </c:dLbl>
            <c:dLbl>
              <c:idx val="2"/>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1%</a:t>
                    </a:r>
                  </a:p>
                </c:rich>
              </c:tx>
              <c:dLblPos val="outEnd"/>
              <c:showLegendKey val="0"/>
              <c:showVal val="0"/>
              <c:showCatName val="0"/>
              <c:showSerName val="0"/>
              <c:showPercent val="0"/>
              <c:separator>; </c:separator>
            </c:dLbl>
            <c:dLbl>
              <c:idx val="3"/>
              <c:txPr>
                <a:bodyPr wrap="square"/>
                <a:lstStyle/>
                <a:p>
                  <a:pPr>
                    <a:defRPr b="0" lang="pt-PT" sz="1200" strike="noStrike" u="none">
                      <a:solidFill>
                        <a:srgbClr val="000000"/>
                      </a:solidFill>
                      <a:uFillTx/>
                      <a:latin typeface="Times New Roman"/>
                    </a:defRPr>
                  </a:pPr>
                </a:p>
              </c:txPr>
              <c:tx>
                <c:rich>
                  <a:bodyPr/>
                  <a:p>
                    <a:r>
                      <a:rPr b="0" lang="pt-PT" sz="1200" strike="noStrike" u="none">
                        <a:solidFill>
                          <a:srgbClr val="000000"/>
                        </a:solidFill>
                        <a:uFillTx/>
                        <a:latin typeface="Times New Roman"/>
                      </a:rPr>
                      <a:t>15%</a:t>
                    </a:r>
                  </a:p>
                </c:rich>
              </c:tx>
              <c:dLblPos val="outEnd"/>
              <c:showLegendKey val="0"/>
              <c:showVal val="0"/>
              <c:showCatName val="0"/>
              <c:showSerName val="0"/>
              <c:showPercent val="0"/>
              <c:separator>; </c:separator>
            </c:dLbl>
            <c:txPr>
              <a:bodyPr wrap="square"/>
              <a:lstStyle/>
              <a:p>
                <a:pPr>
                  <a:defRPr b="0" lang="pt-PT" sz="1200" strike="noStrike" u="none">
                    <a:solidFill>
                      <a:srgbClr val="000000"/>
                    </a:solidFill>
                    <a:uFillTx/>
                    <a:latin typeface="Times New Roman"/>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HTA</c:v>
                </c:pt>
                <c:pt idx="1">
                  <c:v>Diabetes Mellitus</c:v>
                </c:pt>
                <c:pt idx="2">
                  <c:v>Dengue</c:v>
                </c:pt>
                <c:pt idx="3">
                  <c:v>Outros</c:v>
                </c:pt>
              </c:strCache>
            </c:strRef>
          </c:cat>
          <c:val>
            <c:numRef>
              <c:f>1</c:f>
              <c:numCache>
                <c:formatCode>General</c:formatCode>
                <c:ptCount val="4"/>
                <c:pt idx="0">
                  <c:v>356</c:v>
                </c:pt>
                <c:pt idx="1">
                  <c:v>147</c:v>
                </c:pt>
                <c:pt idx="2">
                  <c:v>5</c:v>
                </c:pt>
                <c:pt idx="3">
                  <c:v>90</c:v>
                </c:pt>
              </c:numCache>
            </c:numRef>
          </c:val>
        </c:ser>
        <c:gapWidth val="150"/>
        <c:overlap val="0"/>
        <c:axId val="41458051"/>
        <c:axId val="15445954"/>
      </c:barChart>
      <c:catAx>
        <c:axId val="41458051"/>
        <c:scaling>
          <c:orientation val="minMax"/>
        </c:scaling>
        <c:delete val="0"/>
        <c:axPos val="b"/>
        <c:numFmt formatCode="General" sourceLinked="0"/>
        <c:majorTickMark val="none"/>
        <c:minorTickMark val="none"/>
        <c:tickLblPos val="nextTo"/>
        <c:spPr>
          <a:ln w="9360">
            <a:noFill/>
          </a:ln>
        </c:spPr>
        <c:txPr>
          <a:bodyPr/>
          <a:lstStyle/>
          <a:p>
            <a:pPr>
              <a:defRPr b="0" lang="pt-PT" sz="1200" strike="noStrike" u="none">
                <a:solidFill>
                  <a:srgbClr val="000000"/>
                </a:solidFill>
                <a:uFillTx/>
                <a:latin typeface="Times New Roman"/>
              </a:defRPr>
            </a:pPr>
          </a:p>
        </c:txPr>
        <c:crossAx val="15445954"/>
        <c:crosses val="autoZero"/>
        <c:auto val="1"/>
        <c:lblAlgn val="ctr"/>
        <c:lblOffset val="100"/>
        <c:noMultiLvlLbl val="0"/>
      </c:catAx>
      <c:valAx>
        <c:axId val="15445954"/>
        <c:scaling>
          <c:orientation val="minMax"/>
        </c:scaling>
        <c:delete val="1"/>
        <c:axPos val="l"/>
        <c:numFmt formatCode="General" sourceLinked="1"/>
        <c:majorTickMark val="none"/>
        <c:minorTickMark val="none"/>
        <c:tickLblPos val="nextTo"/>
        <c:spPr>
          <a:ln w="9360">
            <a:solidFill>
              <a:srgbClr val="878787"/>
            </a:solidFill>
            <a:round/>
          </a:ln>
        </c:spPr>
        <c:txPr>
          <a:bodyPr/>
          <a:lstStyle/>
          <a:p>
            <a:pPr>
              <a:defRPr b="0" lang="pt-PT" sz="1000" strike="noStrike" u="none">
                <a:solidFill>
                  <a:srgbClr val="000000"/>
                </a:solidFill>
                <a:uFillTx/>
                <a:latin typeface="Calibri"/>
              </a:defRPr>
            </a:pPr>
          </a:p>
        </c:txPr>
        <c:crossAx val="41458051"/>
        <c:crossBetween val="between"/>
      </c:valAx>
      <c:spPr>
        <a:noFill/>
        <a:ln w="0">
          <a:noFill/>
        </a:ln>
      </c:spPr>
    </c:plotArea>
    <c:plotVisOnly val="1"/>
    <c:dispBlanksAs val="gap"/>
  </c:chart>
  <c:spPr>
    <a:solidFill>
      <a:srgbClr val="ffffff"/>
    </a:solidFill>
    <a:ln w="9360">
      <a:noFill/>
    </a:ln>
  </c:spPr>
  <c:externalData r:id="rId1"/>
</c:chartSpace>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77B3DE46-6271-464B-8A38-3F958A8D233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233</TotalTime>
  <Application>LibreOffice/25.2.7.2$Linux_X86_64 LibreOffice_project/520$Build-2</Application>
  <AppVersion>15.0000</AppVersion>
  <Pages>34</Pages>
  <Words>5771</Words>
  <Characters>30314</Characters>
  <CharactersWithSpaces>35160</CharactersWithSpaces>
  <Paragraphs>1783</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2026-02-11T08:56:00Z</dcterms:created>
  <dc:creator>usuario</dc:creator>
  <dc:description/>
  <dc:language>pt-BR</dc:language>
  <cp:lastModifiedBy/>
  <cp:lastPrinted>2026-02-09T12:09:00Z</cp:lastPrinted>
  <dcterms:modified xsi:type="dcterms:W3CDTF">2026-04-02T02:39:48Z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F38920053C98497B9E37ACE16AD1C757_13</vt:lpwstr>
  </property>
  <property fmtid="{D5CDD505-2E9C-101B-9397-08002B2CF9AE}" pid="3" name="KSOProductBuildVer">
    <vt:lpwstr>2070-12.2.0.23196</vt:lpwstr>
  </property>
</Properties>
</file>