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Corrective-Action Template: BMS Diagnostic Faults</w:t>
      </w:r>
    </w:p>
    <w:p>
      <w:pPr>
        <w:jc w:val="center"/>
      </w:pPr>
      <w:r>
        <w:rPr>
          <w:i/>
        </w:rPr>
        <w:t>CAR-NMS-BMS-2602 | Blank controlled template with seeded facts</w:t>
      </w:r>
    </w:p>
    <w:p>
      <w:r>
        <w:t>Northstar Mobility Systems | Synthetic demo data | Controlled copy</w:t>
      </w:r>
    </w:p>
    <w:p>
      <w:pPr>
        <w:pStyle w:val="Heading1"/>
      </w:pPr>
      <w:r>
        <w:t>Problem description</w:t>
      </w:r>
    </w:p>
    <w:p>
      <w:r>
        <w:t>Describe the measurable gap, affected lots, first detection, and current customer exposure. Seed facts: rise from 4 to 18 weekly faults; 3.8.2 lots under containment.</w:t>
      </w:r>
    </w:p>
    <w:p>
      <w:pPr>
        <w:pStyle w:val="Heading1"/>
      </w:pPr>
      <w:r>
        <w:t>Immediate correction</w:t>
      </w:r>
    </w:p>
    <w:p>
      <w:r>
        <w:t>Record screening method, units screened, pass/fail totals, quarantine location, and release authority.</w:t>
      </w:r>
    </w:p>
    <w:p>
      <w:pPr>
        <w:pStyle w:val="Heading1"/>
      </w:pPr>
      <w:r>
        <w:t>Root-cause analysis</w:t>
      </w:r>
    </w:p>
    <w:p>
      <w:r>
        <w:t>Separate direct cause, contributing conditions, detection gap, and evidence still missing. Do not write “firmware caused it” without matched-hardware proof.</w:t>
      </w:r>
    </w:p>
    <w:p>
      <w:pPr>
        <w:pStyle w:val="Heading1"/>
      </w:pPr>
      <w:r>
        <w:t>Permanent corrective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Priya Nair / Lukas Meyer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Target</w:t>
            </w:r>
          </w:p>
        </w:tc>
        <w:tc>
          <w:tcPr>
            <w:tcW w:type="dxa" w:w="4320"/>
          </w:tcPr>
          <w:p>
            <w:r>
              <w:t>2026-02-20 review; closure date to be agreed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Evidence</w:t>
            </w:r>
          </w:p>
        </w:tc>
        <w:tc>
          <w:tcPr>
            <w:tcW w:type="dxa" w:w="4320"/>
          </w:tcPr>
          <w:p>
            <w:r>
              <w:t>Validation matrix, raw logs, supplier 8D response, change-control record</w:t>
            </w:r>
          </w:p>
        </w:tc>
      </w:tr>
    </w:tbl>
    <w:p>
      <w:pPr>
        <w:pStyle w:val="Heading1"/>
      </w:pPr>
      <w:r>
        <w:t>Effectiveness check</w:t>
      </w:r>
    </w:p>
    <w:p>
      <w:r>
        <w:t>Define a 30-day post-release monitoring window and the threshold for reopening the CAR.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