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Production Quality Follow-up — Meeting Notes</w:t>
      </w:r>
    </w:p>
    <w:p>
      <w:pPr>
        <w:jc w:val="center"/>
      </w:pPr>
      <w:r>
        <w:rPr>
          <w:i/>
        </w:rPr>
        <w:t>2026-02-20 | Meeting notes (fictional)</w:t>
      </w:r>
    </w:p>
    <w:p>
      <w:r>
        <w:t>Northstar Mobility Systems | Synthetic demo data | Controlled copy</w:t>
      </w:r>
    </w:p>
    <w:p>
      <w:pPr>
        <w:pStyle w:val="Heading1"/>
      </w:pPr>
      <w:r>
        <w:t>Meeting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2026-02-20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Participants</w:t>
            </w:r>
          </w:p>
        </w:tc>
        <w:tc>
          <w:tcPr>
            <w:tcW w:type="dxa" w:w="4320"/>
          </w:tcPr>
          <w:p>
            <w:r>
              <w:t>Maya Chen, Elias Berg, Priya Nair, Lukas Meyer, Sofia Lind</w:t>
            </w:r>
          </w:p>
        </w:tc>
      </w:tr>
    </w:tbl>
    <w:p>
      <w:pPr>
        <w:pStyle w:val="Heading1"/>
      </w:pPr>
      <w:r>
        <w:t>Decisions</w:t>
      </w:r>
    </w:p>
    <w:p>
      <w:pPr>
        <w:pStyle w:val="ListBullet"/>
      </w:pPr>
      <w:r>
        <w:t>Maintain containment for D/E/F; do not expand to C today.</w:t>
      </w:r>
    </w:p>
    <w:p>
      <w:pPr>
        <w:pStyle w:val="ListBullet"/>
      </w:pPr>
      <w:r>
        <w:t>Validation remains open; supplier report due 2026-02-20.</w:t>
      </w:r>
    </w:p>
    <w:p>
      <w:pPr>
        <w:pStyle w:val="ListBullet"/>
      </w:pPr>
      <w:r>
        <w:t>Open corrective action with 30-day effectiveness monitoring.</w:t>
      </w:r>
    </w:p>
    <w:p>
      <w:pPr>
        <w:pStyle w:val="Heading1"/>
      </w:pPr>
      <w:r>
        <w:t>Actions</w:t>
      </w:r>
    </w:p>
    <w:p>
      <w:pPr>
        <w:pStyle w:val="ListBullet"/>
      </w:pPr>
      <w:r>
        <w:t>Maya: CAR and release evidence pack by 2026-02-20.</w:t>
      </w:r>
    </w:p>
    <w:p>
      <w:pPr>
        <w:pStyle w:val="ListBullet"/>
      </w:pPr>
      <w:r>
        <w:t>Priya: close EV-01/03 review items by 2026-02-24.</w:t>
      </w:r>
    </w:p>
    <w:p>
      <w:pPr>
        <w:pStyle w:val="ListBullet"/>
      </w:pPr>
      <w:r>
        <w:t>Lukas: supplier reproduction report by 2026-02-20.</w:t>
      </w:r>
    </w:p>
    <w:p>
      <w:pPr>
        <w:pStyle w:val="ListBullet"/>
      </w:pPr>
      <w:r>
        <w:t>Sofia: add evidence requirement to next shipment gate.</w:t>
      </w:r>
    </w:p>
    <w:p>
      <w:pPr>
        <w:pStyle w:val="Heading1"/>
      </w:pPr>
      <w:r>
        <w:t>Open questions</w:t>
      </w:r>
    </w:p>
    <w:p>
      <w:pPr>
        <w:pStyle w:val="ListBullet"/>
      </w:pPr>
      <w:r>
        <w:t>Whether remaining F units can be screened before supplier report.</w:t>
      </w:r>
    </w:p>
    <w:p>
      <w:r>
        <w:t>Document owner: Northstar Mobility Systems demo team. All names, suppliers, products, and metrics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