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BMS Fault Triage — Discussion Transcript</w:t>
      </w:r>
    </w:p>
    <w:p>
      <w:pPr>
        <w:jc w:val="center"/>
      </w:pPr>
      <w:r>
        <w:rPr>
          <w:i/>
        </w:rPr>
        <w:t>2026-02-06 | Discussion transcript (fictional)</w:t>
      </w:r>
    </w:p>
    <w:p>
      <w:r>
        <w:t>Northstar Mobility Systems | Synthetic demo data | Controlled copy</w:t>
      </w:r>
    </w:p>
    <w:p>
      <w:pPr>
        <w:pStyle w:val="Heading1"/>
      </w:pPr>
      <w:r>
        <w:t>Meeting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2026-02-06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Participants</w:t>
            </w:r>
          </w:p>
        </w:tc>
        <w:tc>
          <w:tcPr>
            <w:tcW w:type="dxa" w:w="4320"/>
          </w:tcPr>
          <w:p>
            <w:r>
              <w:t>Maya Chen, Elias Berg, Priya Nair, Lukas Meyer, Sofia Lind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Purpose</w:t>
            </w:r>
          </w:p>
        </w:tc>
        <w:tc>
          <w:tcPr>
            <w:tcW w:type="dxa" w:w="4320"/>
          </w:tcPr>
          <w:p>
            <w:r>
              <w:t>Discuss rising BMS diagnostic faults and decide next controls.</w:t>
            </w:r>
          </w:p>
        </w:tc>
      </w:tr>
    </w:tbl>
    <w:p>
      <w:pPr>
        <w:pStyle w:val="Heading1"/>
      </w:pPr>
      <w:r>
        <w:t>Transcript</w:t>
      </w:r>
    </w:p>
    <w:p>
      <w:pPr>
        <w:pStyle w:val="ListBullet"/>
      </w:pPr>
      <w:r>
        <w:t>Maya Chen: The weekly count is no longer noise. We have 18 faults in the latest week, and the timing overlaps 3.8.2.</w:t>
      </w:r>
    </w:p>
    <w:p>
      <w:pPr>
        <w:pStyle w:val="ListBullet"/>
      </w:pPr>
      <w:r>
        <w:t>Priya Nair: Overlap is not causality. My bench run has reproduced the warning only when low-voltage recovery is combined with the harness fixture.</w:t>
      </w:r>
    </w:p>
    <w:p>
      <w:pPr>
        <w:pStyle w:val="ListBullet"/>
      </w:pPr>
      <w:r>
        <w:t>Lukas Meyer: VoltaCore changed the threshold to catch real events. Our internal fleet did not show a step change.</w:t>
      </w:r>
    </w:p>
    <w:p>
      <w:pPr>
        <w:pStyle w:val="ListBullet"/>
      </w:pPr>
      <w:r>
        <w:t>Sofia Lind: Can we isolate shipments by lot without stopping every commercial vehicle component?</w:t>
      </w:r>
    </w:p>
    <w:p>
      <w:pPr>
        <w:pStyle w:val="ListBullet"/>
      </w:pPr>
      <w:r>
        <w:t>Elias Berg: Protect the customer first. I want a costed containment option today, not a root-cause declaration.</w:t>
      </w:r>
    </w:p>
    <w:p>
      <w:pPr>
        <w:pStyle w:val="ListBullet"/>
      </w:pPr>
      <w:r>
        <w:t>Maya Chen: I will hold D, E, and F, and we will keep C under monitor unless evidence expands the scope.</w:t>
      </w:r>
    </w:p>
    <w:p>
      <w:pPr>
        <w:pStyle w:val="ListBullet"/>
      </w:pPr>
      <w:r>
        <w:t>Priya Nair: Agreed, provided engineering gets matched samples and raw logs.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