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HA-240 component requirements</w:t>
      </w:r>
    </w:p>
    <w:p>
      <w:r>
        <w:t>Synthetic Knowledge Pack | Industrial AI Workbench</w:t>
      </w:r>
    </w:p>
    <w:p>
      <w:pPr>
        <w:pStyle w:val="Heading1"/>
      </w:pPr>
      <w:r>
        <w:t>Demand</w:t>
      </w:r>
    </w:p>
    <w:p>
      <w:r>
        <w:t>RFQ-HA240-2026 requires 2,400 hydraulic actuators, ISO 4413 compliance, 18-week demand horizon, first delivery 2026-06-15, and 24-month warranty.</w:t>
      </w:r>
    </w:p>
    <w:p>
      <w:pPr>
        <w:pStyle w:val="Heading1"/>
      </w:pPr>
      <w:r>
        <w:t>Evaluation</w:t>
      </w:r>
    </w:p>
    <w:p>
      <w:r>
        <w:t>Technical fit 30%, normalized commercial value 30%, delivery 20%, quality evidence 10%, resilience 10%.</w:t>
      </w:r>
    </w:p>
    <w:p>
      <w:r>
        <w:t>All names, prices, dates, and events are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