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Normalized quotation comparison</w:t>
      </w:r>
    </w:p>
    <w:p>
      <w:r>
        <w:t>Synthetic Knowledge Pack | Industrial AI Workbench</w:t>
      </w:r>
    </w:p>
    <w:p>
      <w:pPr>
        <w:pStyle w:val="Heading1"/>
      </w:pPr>
      <w:r>
        <w:t>Aster Dynamics</w:t>
      </w:r>
    </w:p>
    <w:p>
      <w:r>
        <w:t>USD 198/unit, FCA Rotterdam, 30-day terms, 10-week lead. Normalize at EUR/USD 1.09; add €24,000 freight and inspection.</w:t>
      </w:r>
    </w:p>
    <w:p>
      <w:pPr>
        <w:pStyle w:val="Heading1"/>
      </w:pPr>
      <w:r>
        <w:t>Boreal Motion</w:t>
      </w:r>
    </w:p>
    <w:p>
      <w:r>
        <w:t>EUR 203/unit, DDP Brno, 45-day terms, 9-week lead. Normalized landed value €487,200 and complete validation evidence.</w:t>
      </w:r>
    </w:p>
    <w:p>
      <w:pPr>
        <w:pStyle w:val="Heading1"/>
      </w:pPr>
      <w:r>
        <w:t>Cinder Industrial</w:t>
      </w:r>
    </w:p>
    <w:p>
      <w:r>
        <w:t>GBP 171/unit, CIF Hamburg, 60-day terms; cover letter says 8 weeks but schedule appendix says 12. Add GBP 18,000 tooling and €12,000 inland/logistics.</w:t>
      </w:r>
    </w:p>
    <w:p>
      <w:pPr>
        <w:pStyle w:val="Heading1"/>
      </w:pPr>
      <w:r>
        <w:t>Recommendation</w:t>
      </w:r>
    </w:p>
    <w:p>
      <w:r>
        <w:t>Boreal Motion is primary; Aster Dynamics is qualified contingency. Close Cinder lead-time discrepancy before any award.</w:t>
      </w:r>
    </w:p>
    <w:p>
      <w:r>
        <w:t>All names, prices, dates, and events are fictional and synthetic for demonstration.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