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Draft executive award note</w:t>
      </w:r>
    </w:p>
    <w:p>
      <w:r>
        <w:t>Synthetic Knowledge Pack | Industrial AI Workbench</w:t>
      </w:r>
    </w:p>
    <w:p>
      <w:pPr>
        <w:pStyle w:val="Heading1"/>
      </w:pPr>
      <w:r>
        <w:t>Decision requested</w:t>
      </w:r>
    </w:p>
    <w:p>
      <w:r>
        <w:t>Approve Boreal Motion for 2,400 HA-240 units at €487,200 normalized landed value, subject to quality-plan sign-off.</w:t>
      </w:r>
    </w:p>
    <w:p>
      <w:pPr>
        <w:pStyle w:val="Heading1"/>
      </w:pPr>
      <w:r>
        <w:t>Conditions</w:t>
      </w:r>
    </w:p>
    <w:p>
      <w:r>
        <w:t>Retain Aster as contingency; record EUR/USD 1.09 assumption; obtain Cinder schedule clarification; release purchase order after validation sign-off.</w:t>
      </w:r>
    </w:p>
    <w:p>
      <w:r>
        <w:t>All names, prices, dates, and events are fictional and synthetic for demonstration.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