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05 Sourcing Brief</w:t>
      </w:r>
    </w:p>
    <w:p>
      <w:r>
        <w:t>Synthetic Knowledge Pack | Industrial AI Workbench</w:t>
      </w:r>
    </w:p>
    <w:p>
      <w:pPr>
        <w:pStyle w:val="Heading1"/>
      </w:pPr>
      <w:r>
        <w:t>Evidence</w:t>
      </w:r>
    </w:p>
    <w:p>
      <w:r>
        <w:t>This synthetic source connects the storyline with dated metrics, assumptions, and a decision-relevant contradiction.</w:t>
      </w:r>
    </w:p>
    <w:p>
      <w:pPr>
        <w:pStyle w:val="Heading1"/>
      </w:pPr>
      <w:r>
        <w:t>Action</w:t>
      </w:r>
    </w:p>
    <w:p>
      <w:r>
        <w:t>Use this source with the workbooks and communications; cite the filename in the final output.</w:t>
      </w:r>
    </w:p>
    <w:p>
      <w:r>
        <w:t>All organizations, people, metrics, dates, and events are fictional and synthetic.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