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notes</w:t>
      </w:r>
    </w:p>
    <w:p>
      <w:r>
        <w:t>Synthetic Knowledge Pack | Industrial AI Workbench</w:t>
      </w:r>
    </w:p>
    <w:p>
      <w:pPr>
        <w:pStyle w:val="Heading1"/>
      </w:pPr>
      <w:r>
        <w:t>Discussion</w:t>
      </w:r>
    </w:p>
    <w:p>
      <w:r>
        <w:t>Stakeholders compare headline metrics with operational impact and identify a material evidence gap.</w:t>
      </w:r>
    </w:p>
    <w:p>
      <w:pPr>
        <w:pStyle w:val="Heading1"/>
      </w:pPr>
      <w:r>
        <w:t>Decision</w:t>
      </w:r>
    </w:p>
    <w:p>
      <w:r>
        <w:t>Assign owner and date for each unresolved condition.</w:t>
      </w:r>
    </w:p>
    <w:p>
      <w:r>
        <w:t>All content is fictional and synthetic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