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Atlas Connect API: Frequently Asked Questions</w:t>
      </w:r>
    </w:p>
    <w:p>
      <w:pPr>
        <w:pStyle w:val="Heading1"/>
      </w:pPr>
      <w:r>
        <w:t xml:space="preserve">How do applications authenticate?</w:t>
      </w:r>
    </w:p>
    <w:p>
      <w:r>
        <w:t xml:space="preserve">With an API key or with OAuth 2.0. API keys are created under Connect &gt; API keys by an administrator, and act with the permissions of the role chosen when the key is created. Use OAuth 2.0 for applications that act on behalf of individual users. API keys do not expire, but can be revoked at any time.</w:t>
      </w:r>
    </w:p>
    <w:p>
      <w:pPr>
        <w:pStyle w:val="Heading1"/>
      </w:pPr>
      <w:r>
        <w:t xml:space="preserve">How many requests can we send?</w:t>
      </w:r>
    </w:p>
    <w:p>
      <w:r>
        <w:t xml:space="preserve">The REST API allows 120 requests per minute on the Basic plan, 600 on Professional, and 3,000 on Enterprise, per account. When the limit is reached, the API returns HTTP 429 Too Many Requests with a Retry-After header saying how many seconds to wait. Bulk endpoints accept up to 100 records per call and count as one request.</w:t>
      </w:r>
    </w:p>
    <w:p>
      <w:pPr>
        <w:pStyle w:val="Heading1"/>
      </w:pPr>
      <w:r>
        <w:t xml:space="preserve">How do we page through large results?</w:t>
      </w:r>
    </w:p>
    <w:p>
      <w:r>
        <w:t xml:space="preserve">List endpoints return at most 100 records per page, with a cursor in the field next_cursor. Pass it as the parameter cursor to get the next page; when next_cursor is null, there are no more pages. Cursors are valid for 24 hours.</w:t>
      </w:r>
    </w:p>
    <w:p>
      <w:pPr>
        <w:pStyle w:val="Heading1"/>
      </w:pPr>
      <w:r>
        <w:t xml:space="preserve">Is there a test environment?</w:t>
      </w:r>
    </w:p>
    <w:p>
      <w:r>
        <w:t xml:space="preserve">Yes. Every Professional and Enterprise account has a sandbox at sandbox.atlas.example, with its own API keys and test data. Payments in the sandbox use test cards and never charge anyone. The sandbox is reset to its initial data on the first day of every month.</w:t>
      </w:r>
    </w:p>
    <w:p>
      <w:pPr>
        <w:pStyle w:val="Heading1"/>
      </w:pPr>
      <w:r>
        <w:t xml:space="preserve">How long is an API version supported?</w:t>
      </w:r>
    </w:p>
    <w:p>
      <w:r>
        <w:t xml:space="preserve">Each API version is supported for 18 months after the next version is released. Deprecated versions return the header Deprecation with the date support ends. The current version is v4; version v3 is supported until 30 June 2027.</w:t>
      </w:r>
    </w:p>
    <w:p>
      <w:pPr>
        <w:pStyle w:val="Heading1"/>
      </w:pPr>
      <w:r>
        <w:t xml:space="preserve">Why was our webhook disabled?</w:t>
      </w:r>
    </w:p>
    <w:p>
      <w:r>
        <w:t xml:space="preserve">Atlas Connect retries a failed webhook delivery for 24 hours, with increasing intervals. After that, the webhook is disabled and the account owner is notified by e-mail. Fix the endpoint so that it returns HTTP 2xx within 10 seconds, then re-enable the webhook under Connect &gt; Webhooks. Use Replay to resend the events missed while it was disabled; events are kept for 7 days.</w:t>
      </w:r>
    </w:p>
    <w:p>
      <w:pPr>
        <w:pStyle w:val="Heading1"/>
      </w:pPr>
      <w:r>
        <w:t xml:space="preserve">Which calendars can Atlas sync with?</w:t>
      </w:r>
    </w:p>
    <w:p>
      <w:r>
        <w:t xml:space="preserve">Microsoft 365 and Google Workspace calendars, in both directions, every five minutes. Set up the connection under Connect &gt; Connectors by choosing the provider and signing in with the calendar account. Meetings older than 30 days are not synced.</w:t>
      </w:r>
    </w:p>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basedOn w:val="Normal"/>
    <w:rPr>
      <w:b/>
      <w:sz w:val="36"/>
    </w:rPr>
  </w:style>
  <w:style w:type="paragraph" w:styleId="Heading1">
    <w:name w:val="heading 1"/>
    <w:basedOn w:val="Normal"/>
    <w:pPr>
      <w:spacing w:before="240" w:after="80"/>
    </w:pPr>
    <w:rPr>
      <w:b/>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