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CE2" w14:textId="0EFFD40B" w:rsidR="005265F3" w:rsidRDefault="00CD5D6E">
      <w:r>
        <w:t xml:space="preserve">CARLOC : Réflexion et réorganisation </w:t>
      </w:r>
    </w:p>
    <w:p w14:paraId="5027B13B" w14:textId="77777777" w:rsidR="00CD5D6E" w:rsidRDefault="00CD5D6E"/>
    <w:p w14:paraId="7848FBC0" w14:textId="77777777" w:rsidR="00CD5D6E" w:rsidRDefault="00CD5D6E"/>
    <w:sectPr w:rsidR="00CD5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6E"/>
    <w:rsid w:val="005265F3"/>
    <w:rsid w:val="00C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B20B"/>
  <w15:chartTrackingRefBased/>
  <w15:docId w15:val="{0B59962D-52EA-489F-B5BE-1199EB10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Amèholé Vivien AWOMAKOU</dc:creator>
  <cp:keywords/>
  <dc:description/>
  <cp:lastModifiedBy>Amèholé Vivien AWOMAKOU</cp:lastModifiedBy>
  <cp:revision>1</cp:revision>
  <dcterms:created xsi:type="dcterms:W3CDTF">2023-11-09T13:59:00Z</dcterms:created>
  <dcterms:modified xsi:type="dcterms:W3CDTF">2023-11-09T14:02:00Z</dcterms:modified>
</cp:coreProperties>
</file>