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19DCA" w14:textId="77777777" w:rsidR="00CB4566" w:rsidRPr="00CD4BD9" w:rsidRDefault="009B51EA">
      <w:pPr>
        <w:rPr>
          <w:rFonts w:ascii="Arial" w:hAnsi="Arial" w:cs="Arial"/>
          <w:b/>
          <w:bCs/>
          <w:color w:val="222222"/>
          <w:sz w:val="32"/>
          <w:szCs w:val="32"/>
          <w:shd w:val="clear" w:color="auto" w:fill="FFFFFF"/>
        </w:rPr>
      </w:pPr>
      <w:r w:rsidRPr="00CD4BD9">
        <w:rPr>
          <w:b/>
          <w:bCs/>
          <w:sz w:val="32"/>
          <w:szCs w:val="32"/>
        </w:rPr>
        <w:t>MEAN SQUARED ERROR</w:t>
      </w:r>
      <w:r w:rsidRPr="00CD4BD9">
        <w:rPr>
          <w:b/>
          <w:bCs/>
          <w:sz w:val="32"/>
          <w:szCs w:val="32"/>
        </w:rPr>
        <w:br/>
      </w:r>
      <w:r>
        <w:rPr>
          <w:rFonts w:ascii="Arial" w:hAnsi="Arial" w:cs="Arial"/>
          <w:color w:val="222222"/>
          <w:sz w:val="21"/>
          <w:szCs w:val="21"/>
          <w:shd w:val="clear" w:color="auto" w:fill="FFFFFF"/>
        </w:rPr>
        <w:t>In </w:t>
      </w:r>
      <w:hyperlink r:id="rId5" w:tooltip="Statistics" w:history="1">
        <w:r>
          <w:rPr>
            <w:rStyle w:val="Hyperlink"/>
            <w:rFonts w:ascii="Arial" w:hAnsi="Arial" w:cs="Arial"/>
            <w:color w:val="0B0080"/>
            <w:sz w:val="21"/>
            <w:szCs w:val="21"/>
            <w:shd w:val="clear" w:color="auto" w:fill="FFFFFF"/>
          </w:rPr>
          <w:t>statistics</w:t>
        </w:r>
      </w:hyperlink>
      <w:r>
        <w:rPr>
          <w:rFonts w:ascii="Arial" w:hAnsi="Arial" w:cs="Arial"/>
          <w:color w:val="222222"/>
          <w:sz w:val="21"/>
          <w:szCs w:val="21"/>
          <w:shd w:val="clear" w:color="auto" w:fill="FFFFFF"/>
        </w:rPr>
        <w:t>, the </w:t>
      </w:r>
      <w:r>
        <w:rPr>
          <w:rFonts w:ascii="Arial" w:hAnsi="Arial" w:cs="Arial"/>
          <w:b/>
          <w:bCs/>
          <w:color w:val="222222"/>
          <w:sz w:val="21"/>
          <w:szCs w:val="21"/>
          <w:shd w:val="clear" w:color="auto" w:fill="FFFFFF"/>
        </w:rPr>
        <w:t>mean squared error</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MSE</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mean squared deviation</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MSD</w:t>
      </w:r>
      <w:r>
        <w:rPr>
          <w:rFonts w:ascii="Arial" w:hAnsi="Arial" w:cs="Arial"/>
          <w:color w:val="222222"/>
          <w:sz w:val="21"/>
          <w:szCs w:val="21"/>
          <w:shd w:val="clear" w:color="auto" w:fill="FFFFFF"/>
        </w:rPr>
        <w:t>) of an </w:t>
      </w:r>
      <w:hyperlink r:id="rId6" w:tooltip="Estimator" w:history="1">
        <w:r>
          <w:rPr>
            <w:rStyle w:val="Hyperlink"/>
            <w:rFonts w:ascii="Arial" w:hAnsi="Arial" w:cs="Arial"/>
            <w:color w:val="0B0080"/>
            <w:sz w:val="21"/>
            <w:szCs w:val="21"/>
            <w:shd w:val="clear" w:color="auto" w:fill="FFFFFF"/>
          </w:rPr>
          <w:t>estimator</w:t>
        </w:r>
      </w:hyperlink>
      <w:r>
        <w:rPr>
          <w:rFonts w:ascii="Arial" w:hAnsi="Arial" w:cs="Arial"/>
          <w:color w:val="222222"/>
          <w:sz w:val="21"/>
          <w:szCs w:val="21"/>
          <w:shd w:val="clear" w:color="auto" w:fill="FFFFFF"/>
        </w:rPr>
        <w:t> (of a procedure for estimating an unobserved quantity) measures the </w:t>
      </w:r>
      <w:hyperlink r:id="rId7" w:tooltip="Expected value" w:history="1">
        <w:r>
          <w:rPr>
            <w:rStyle w:val="Hyperlink"/>
            <w:rFonts w:ascii="Arial" w:hAnsi="Arial" w:cs="Arial"/>
            <w:color w:val="0B0080"/>
            <w:sz w:val="21"/>
            <w:szCs w:val="21"/>
            <w:shd w:val="clear" w:color="auto" w:fill="FFFFFF"/>
          </w:rPr>
          <w:t>average</w:t>
        </w:r>
      </w:hyperlink>
      <w:r>
        <w:rPr>
          <w:rFonts w:ascii="Arial" w:hAnsi="Arial" w:cs="Arial"/>
          <w:color w:val="222222"/>
          <w:sz w:val="21"/>
          <w:szCs w:val="21"/>
          <w:shd w:val="clear" w:color="auto" w:fill="FFFFFF"/>
        </w:rPr>
        <w:t> of the squares of the </w:t>
      </w:r>
      <w:hyperlink r:id="rId8" w:tooltip="Error (statistics)" w:history="1">
        <w:r>
          <w:rPr>
            <w:rStyle w:val="Hyperlink"/>
            <w:rFonts w:ascii="Arial" w:hAnsi="Arial" w:cs="Arial"/>
            <w:color w:val="0B0080"/>
            <w:sz w:val="21"/>
            <w:szCs w:val="21"/>
            <w:shd w:val="clear" w:color="auto" w:fill="FFFFFF"/>
          </w:rPr>
          <w:t>errors</w:t>
        </w:r>
      </w:hyperlink>
      <w:r>
        <w:rPr>
          <w:rFonts w:ascii="Arial" w:hAnsi="Arial" w:cs="Arial"/>
          <w:color w:val="222222"/>
          <w:sz w:val="21"/>
          <w:szCs w:val="21"/>
          <w:shd w:val="clear" w:color="auto" w:fill="FFFFFF"/>
        </w:rPr>
        <w:t>—that is, the average squared difference between the estimated values and what is estimated.</w:t>
      </w:r>
    </w:p>
    <w:p w14:paraId="7D8F303C" w14:textId="77777777" w:rsidR="009B51EA" w:rsidRDefault="009B51EA">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MSE is a measure of the quality of an estimator—it is always non-negative, and values closer to zero are better.</w:t>
      </w:r>
    </w:p>
    <w:p w14:paraId="793A76B0" w14:textId="77777777" w:rsidR="009B51EA" w:rsidRDefault="009B51EA">
      <w:pPr>
        <w:rPr>
          <w:rFonts w:ascii="Arial" w:hAnsi="Arial" w:cs="Arial"/>
          <w:color w:val="222222"/>
          <w:sz w:val="21"/>
          <w:szCs w:val="21"/>
          <w:shd w:val="clear" w:color="auto" w:fill="FFFFFF"/>
        </w:rPr>
      </w:pPr>
      <w:r w:rsidRPr="009B51EA">
        <w:rPr>
          <w:rFonts w:ascii="Arial" w:hAnsi="Arial" w:cs="Arial"/>
          <w:noProof/>
          <w:color w:val="222222"/>
          <w:sz w:val="21"/>
          <w:szCs w:val="21"/>
          <w:shd w:val="clear" w:color="auto" w:fill="FFFFFF"/>
        </w:rPr>
        <w:drawing>
          <wp:inline distT="0" distB="0" distL="0" distR="0" wp14:anchorId="59634F6C" wp14:editId="51EAD699">
            <wp:extent cx="1409700" cy="3905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409700" cy="390525"/>
                    </a:xfrm>
                    <a:prstGeom prst="rect">
                      <a:avLst/>
                    </a:prstGeom>
                  </pic:spPr>
                </pic:pic>
              </a:graphicData>
            </a:graphic>
          </wp:inline>
        </w:drawing>
      </w:r>
    </w:p>
    <w:p w14:paraId="52E838BF" w14:textId="77777777" w:rsidR="000B1751" w:rsidRDefault="000B1751">
      <w:pPr>
        <w:rPr>
          <w:rFonts w:ascii="Arial" w:hAnsi="Arial" w:cs="Arial"/>
          <w:color w:val="222222"/>
          <w:sz w:val="21"/>
          <w:szCs w:val="21"/>
          <w:shd w:val="clear" w:color="auto" w:fill="FFFFFF"/>
        </w:rPr>
      </w:pPr>
    </w:p>
    <w:p w14:paraId="31D5C623" w14:textId="77777777" w:rsidR="00CD4BD9" w:rsidRDefault="00CD4BD9" w:rsidP="00CD4BD9">
      <w:pPr>
        <w:rPr>
          <w:rFonts w:ascii="Arial" w:hAnsi="Arial" w:cs="Arial"/>
          <w:b/>
          <w:bCs/>
          <w:color w:val="222222"/>
          <w:sz w:val="32"/>
          <w:szCs w:val="32"/>
          <w:shd w:val="clear" w:color="auto" w:fill="FFFFFF"/>
        </w:rPr>
      </w:pPr>
    </w:p>
    <w:p w14:paraId="711F02E1" w14:textId="77777777" w:rsidR="00CD4BD9" w:rsidRDefault="000B1751" w:rsidP="00CD4BD9">
      <w:pPr>
        <w:rPr>
          <w:rFonts w:ascii="Arial" w:hAnsi="Arial" w:cs="Arial"/>
          <w:b/>
          <w:bCs/>
          <w:color w:val="222222"/>
          <w:sz w:val="32"/>
          <w:szCs w:val="32"/>
          <w:shd w:val="clear" w:color="auto" w:fill="FFFFFF"/>
        </w:rPr>
      </w:pPr>
      <w:r w:rsidRPr="00CD4BD9">
        <w:rPr>
          <w:rFonts w:ascii="Arial" w:hAnsi="Arial" w:cs="Arial"/>
          <w:b/>
          <w:bCs/>
          <w:color w:val="222222"/>
          <w:sz w:val="32"/>
          <w:szCs w:val="32"/>
          <w:shd w:val="clear" w:color="auto" w:fill="FFFFFF"/>
        </w:rPr>
        <w:t xml:space="preserve">R-Squared </w:t>
      </w:r>
    </w:p>
    <w:p w14:paraId="4DBE6D98" w14:textId="77777777" w:rsidR="00F71452" w:rsidRPr="00CD4BD9" w:rsidRDefault="00F71452" w:rsidP="00CD4BD9">
      <w:pPr>
        <w:rPr>
          <w:rFonts w:ascii="Arial" w:hAnsi="Arial" w:cs="Arial"/>
          <w:b/>
          <w:bCs/>
          <w:color w:val="222222"/>
          <w:sz w:val="32"/>
          <w:szCs w:val="32"/>
          <w:shd w:val="clear" w:color="auto" w:fill="FFFFFF"/>
        </w:rPr>
      </w:pPr>
      <w:r>
        <w:rPr>
          <w:rFonts w:ascii="Helvetica" w:hAnsi="Helvetica" w:cs="Helvetica"/>
          <w:color w:val="333333"/>
          <w:sz w:val="21"/>
          <w:szCs w:val="21"/>
        </w:rPr>
        <w:t>R-squared is a statistical measure of how close the data are to the fitted regression line. It is also known as the coefficient of determination, or the coefficient of multiple determination for multiple regression.</w:t>
      </w:r>
    </w:p>
    <w:p w14:paraId="1D7F43CD" w14:textId="77777777" w:rsidR="00F71452" w:rsidRDefault="00F71452" w:rsidP="00F7145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definition of R-squared is </w:t>
      </w:r>
      <w:r w:rsidR="00CD4BD9">
        <w:rPr>
          <w:rFonts w:ascii="Helvetica" w:hAnsi="Helvetica" w:cs="Helvetica"/>
          <w:color w:val="333333"/>
          <w:sz w:val="21"/>
          <w:szCs w:val="21"/>
        </w:rPr>
        <w:t>straight-forward</w:t>
      </w:r>
      <w:r>
        <w:rPr>
          <w:rFonts w:ascii="Helvetica" w:hAnsi="Helvetica" w:cs="Helvetica"/>
          <w:color w:val="333333"/>
          <w:sz w:val="21"/>
          <w:szCs w:val="21"/>
        </w:rPr>
        <w:t>; it is the percentage of the response variable variation that is explained by a linear model. Or:</w:t>
      </w:r>
    </w:p>
    <w:p w14:paraId="3658D24F" w14:textId="77777777" w:rsidR="00F71452" w:rsidRDefault="00F71452" w:rsidP="00F7145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R-squared = Explained variation / Total variation</w:t>
      </w:r>
    </w:p>
    <w:p w14:paraId="0888FB71" w14:textId="77777777" w:rsidR="00F71452" w:rsidRDefault="00F71452" w:rsidP="00F71452">
      <w:p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R-squared is always between 0 and 100%:</w:t>
      </w:r>
    </w:p>
    <w:p w14:paraId="0A22D042" w14:textId="77777777" w:rsidR="00F71452" w:rsidRPr="00F71452" w:rsidRDefault="00F71452" w:rsidP="00F71452">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bidi="hi-IN"/>
        </w:rPr>
      </w:pPr>
      <w:r w:rsidRPr="00F71452">
        <w:rPr>
          <w:rFonts w:ascii="Helvetica" w:eastAsia="Times New Roman" w:hAnsi="Helvetica" w:cs="Helvetica"/>
          <w:color w:val="333333"/>
          <w:sz w:val="21"/>
          <w:szCs w:val="21"/>
          <w:lang w:bidi="hi-IN"/>
        </w:rPr>
        <w:t>0% indicates that the model explains none of the variability of the response data around its mean.</w:t>
      </w:r>
    </w:p>
    <w:p w14:paraId="749C1BE9" w14:textId="77777777" w:rsidR="00F71452" w:rsidRPr="00F71452" w:rsidRDefault="00F71452" w:rsidP="00F7145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bidi="hi-IN"/>
        </w:rPr>
      </w:pPr>
      <w:r w:rsidRPr="00F71452">
        <w:rPr>
          <w:rFonts w:ascii="Helvetica" w:eastAsia="Times New Roman" w:hAnsi="Helvetica" w:cs="Helvetica"/>
          <w:color w:val="333333"/>
          <w:sz w:val="21"/>
          <w:szCs w:val="21"/>
          <w:lang w:bidi="hi-IN"/>
        </w:rPr>
        <w:t>100% indicates that the model explains all the variability of the response data around its mean.</w:t>
      </w:r>
    </w:p>
    <w:p w14:paraId="23E7B2BB" w14:textId="77777777" w:rsidR="00F71452" w:rsidRPr="00F71452" w:rsidRDefault="00F71452" w:rsidP="00F71452">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Higher is better in our case</w:t>
      </w:r>
    </w:p>
    <w:p w14:paraId="0AC077CB" w14:textId="77777777" w:rsidR="009B51EA" w:rsidRDefault="009B51EA">
      <w:pPr>
        <w:rPr>
          <w:rFonts w:ascii="Arial" w:hAnsi="Arial" w:cs="Arial"/>
          <w:color w:val="222222"/>
          <w:sz w:val="21"/>
          <w:szCs w:val="21"/>
          <w:shd w:val="clear" w:color="auto" w:fill="FFFFFF"/>
        </w:rPr>
      </w:pPr>
    </w:p>
    <w:p w14:paraId="14C061A5" w14:textId="77777777" w:rsidR="009B51EA" w:rsidRDefault="009B51EA"/>
    <w:p w14:paraId="336EA194" w14:textId="77777777" w:rsidR="004C3BAA" w:rsidRDefault="004C3BAA"/>
    <w:p w14:paraId="36396BCE" w14:textId="77777777" w:rsidR="004C3BAA" w:rsidRDefault="004C3BAA"/>
    <w:p w14:paraId="53E98AC9" w14:textId="77777777" w:rsidR="004C3BAA" w:rsidRDefault="004C3BAA"/>
    <w:p w14:paraId="417E2FC4" w14:textId="77777777" w:rsidR="004C3BAA" w:rsidRDefault="004C3BAA"/>
    <w:p w14:paraId="20FB3784" w14:textId="77777777" w:rsidR="004C3BAA" w:rsidRDefault="004C3BAA"/>
    <w:p w14:paraId="608D771A" w14:textId="77777777" w:rsidR="004C3BAA" w:rsidRDefault="004C3BAA"/>
    <w:tbl>
      <w:tblPr>
        <w:tblStyle w:val="TableGrid"/>
        <w:tblW w:w="0" w:type="auto"/>
        <w:tblLook w:val="04A0" w:firstRow="1" w:lastRow="0" w:firstColumn="1" w:lastColumn="0" w:noHBand="0" w:noVBand="1"/>
      </w:tblPr>
      <w:tblGrid>
        <w:gridCol w:w="3222"/>
        <w:gridCol w:w="2132"/>
        <w:gridCol w:w="2068"/>
        <w:gridCol w:w="1928"/>
      </w:tblGrid>
      <w:tr w:rsidR="00606256" w14:paraId="1BAA9ADF" w14:textId="1D0DAC3E" w:rsidTr="00606256">
        <w:trPr>
          <w:trHeight w:val="276"/>
        </w:trPr>
        <w:tc>
          <w:tcPr>
            <w:tcW w:w="3222" w:type="dxa"/>
          </w:tcPr>
          <w:p w14:paraId="77E17841" w14:textId="77777777" w:rsidR="00606256" w:rsidRDefault="00606256" w:rsidP="00E72262">
            <w:r>
              <w:lastRenderedPageBreak/>
              <w:t xml:space="preserve">Name </w:t>
            </w:r>
          </w:p>
        </w:tc>
        <w:tc>
          <w:tcPr>
            <w:tcW w:w="2132" w:type="dxa"/>
          </w:tcPr>
          <w:p w14:paraId="1FCF4D93" w14:textId="77777777" w:rsidR="00606256" w:rsidRDefault="00606256" w:rsidP="00290F8C">
            <w:r>
              <w:t>MSE</w:t>
            </w:r>
          </w:p>
        </w:tc>
        <w:tc>
          <w:tcPr>
            <w:tcW w:w="2068" w:type="dxa"/>
          </w:tcPr>
          <w:p w14:paraId="6EDFD2E5" w14:textId="77777777" w:rsidR="00606256" w:rsidRDefault="00606256" w:rsidP="000D1DC0">
            <w:r>
              <w:t>RS</w:t>
            </w:r>
          </w:p>
        </w:tc>
        <w:tc>
          <w:tcPr>
            <w:tcW w:w="1928" w:type="dxa"/>
          </w:tcPr>
          <w:p w14:paraId="30959AD2" w14:textId="4BBB1629" w:rsidR="00606256" w:rsidRDefault="00606256" w:rsidP="00606256">
            <w:pPr>
              <w:jc w:val="center"/>
            </w:pPr>
            <w:r>
              <w:t>Theta</w:t>
            </w:r>
          </w:p>
        </w:tc>
      </w:tr>
      <w:tr w:rsidR="00606256" w14:paraId="69D2FCF1" w14:textId="76612B06" w:rsidTr="00606256">
        <w:trPr>
          <w:trHeight w:val="276"/>
        </w:trPr>
        <w:tc>
          <w:tcPr>
            <w:tcW w:w="3222" w:type="dxa"/>
          </w:tcPr>
          <w:p w14:paraId="68F03AF0" w14:textId="77777777" w:rsidR="00606256" w:rsidRDefault="00606256">
            <w:r>
              <w:t>Correctness</w:t>
            </w:r>
          </w:p>
        </w:tc>
        <w:tc>
          <w:tcPr>
            <w:tcW w:w="2132" w:type="dxa"/>
          </w:tcPr>
          <w:p w14:paraId="6311FB4D" w14:textId="77777777" w:rsidR="00606256" w:rsidRDefault="00606256">
            <w:r>
              <w:t>Close to 0</w:t>
            </w:r>
          </w:p>
        </w:tc>
        <w:tc>
          <w:tcPr>
            <w:tcW w:w="2068" w:type="dxa"/>
          </w:tcPr>
          <w:p w14:paraId="43E2AB50" w14:textId="77777777" w:rsidR="00606256" w:rsidRDefault="00606256">
            <w:r>
              <w:t>Close to 100%</w:t>
            </w:r>
          </w:p>
        </w:tc>
        <w:tc>
          <w:tcPr>
            <w:tcW w:w="1928" w:type="dxa"/>
          </w:tcPr>
          <w:p w14:paraId="08BC82FD" w14:textId="700C084B" w:rsidR="00606256" w:rsidRDefault="00606256" w:rsidP="00606256">
            <w:pPr>
              <w:jc w:val="center"/>
            </w:pPr>
          </w:p>
        </w:tc>
      </w:tr>
      <w:tr w:rsidR="00606256" w14:paraId="21CDD125" w14:textId="42F9D67D" w:rsidTr="00606256">
        <w:tc>
          <w:tcPr>
            <w:tcW w:w="3222" w:type="dxa"/>
          </w:tcPr>
          <w:p w14:paraId="24370BF8" w14:textId="77777777" w:rsidR="00606256" w:rsidRDefault="00606256">
            <w:r>
              <w:t>GDAavg1</w:t>
            </w:r>
          </w:p>
        </w:tc>
        <w:tc>
          <w:tcPr>
            <w:tcW w:w="2132" w:type="dxa"/>
          </w:tcPr>
          <w:p w14:paraId="6ED2F42B" w14:textId="77777777" w:rsidR="00606256" w:rsidRDefault="00606256">
            <w:r>
              <w:t>204.6259</w:t>
            </w:r>
          </w:p>
        </w:tc>
        <w:tc>
          <w:tcPr>
            <w:tcW w:w="2068" w:type="dxa"/>
          </w:tcPr>
          <w:p w14:paraId="2DEE15FA" w14:textId="77777777" w:rsidR="00606256" w:rsidRDefault="00606256">
            <w:r>
              <w:t>48.1391</w:t>
            </w:r>
          </w:p>
        </w:tc>
        <w:tc>
          <w:tcPr>
            <w:tcW w:w="1928" w:type="dxa"/>
          </w:tcPr>
          <w:p w14:paraId="05A64431" w14:textId="127828FC" w:rsidR="00606256" w:rsidRDefault="00606256" w:rsidP="00606256">
            <w:pPr>
              <w:jc w:val="center"/>
            </w:pPr>
          </w:p>
        </w:tc>
      </w:tr>
      <w:tr w:rsidR="00606256" w14:paraId="4143C6F5" w14:textId="5692C9EA" w:rsidTr="00606256">
        <w:tc>
          <w:tcPr>
            <w:tcW w:w="3222" w:type="dxa"/>
          </w:tcPr>
          <w:p w14:paraId="12A88B05" w14:textId="77777777" w:rsidR="00606256" w:rsidRDefault="00606256">
            <w:r>
              <w:t>GDAavg2</w:t>
            </w:r>
          </w:p>
        </w:tc>
        <w:tc>
          <w:tcPr>
            <w:tcW w:w="2132" w:type="dxa"/>
          </w:tcPr>
          <w:p w14:paraId="66EA03F9" w14:textId="77777777" w:rsidR="00606256" w:rsidRDefault="00606256">
            <w:r>
              <w:t>195.4926</w:t>
            </w:r>
          </w:p>
        </w:tc>
        <w:tc>
          <w:tcPr>
            <w:tcW w:w="2068" w:type="dxa"/>
          </w:tcPr>
          <w:p w14:paraId="3AA75A66" w14:textId="77777777" w:rsidR="00606256" w:rsidRDefault="00606256">
            <w:r>
              <w:t>48.0422</w:t>
            </w:r>
          </w:p>
        </w:tc>
        <w:tc>
          <w:tcPr>
            <w:tcW w:w="1928" w:type="dxa"/>
          </w:tcPr>
          <w:p w14:paraId="58590619" w14:textId="2903D110" w:rsidR="00606256" w:rsidRDefault="00606256" w:rsidP="00606256">
            <w:pPr>
              <w:jc w:val="center"/>
            </w:pPr>
          </w:p>
        </w:tc>
      </w:tr>
      <w:tr w:rsidR="00606256" w14:paraId="57D99C69" w14:textId="6A4BE318" w:rsidTr="00606256">
        <w:tc>
          <w:tcPr>
            <w:tcW w:w="3222" w:type="dxa"/>
          </w:tcPr>
          <w:p w14:paraId="58F5D603" w14:textId="77777777" w:rsidR="00606256" w:rsidRDefault="00606256">
            <w:r>
              <w:t>NEavg1</w:t>
            </w:r>
          </w:p>
        </w:tc>
        <w:tc>
          <w:tcPr>
            <w:tcW w:w="2132" w:type="dxa"/>
          </w:tcPr>
          <w:p w14:paraId="6A20065B" w14:textId="77777777" w:rsidR="00606256" w:rsidRDefault="00606256">
            <w:r>
              <w:t>204.1926</w:t>
            </w:r>
          </w:p>
        </w:tc>
        <w:tc>
          <w:tcPr>
            <w:tcW w:w="2068" w:type="dxa"/>
          </w:tcPr>
          <w:p w14:paraId="69A0C605" w14:textId="77777777" w:rsidR="00606256" w:rsidRDefault="00606256">
            <w:r>
              <w:t>48.0081</w:t>
            </w:r>
          </w:p>
        </w:tc>
        <w:tc>
          <w:tcPr>
            <w:tcW w:w="1928" w:type="dxa"/>
          </w:tcPr>
          <w:p w14:paraId="7C53ECC7" w14:textId="12B44691" w:rsidR="00606256" w:rsidRDefault="00606256" w:rsidP="00606256">
            <w:pPr>
              <w:jc w:val="center"/>
            </w:pPr>
          </w:p>
        </w:tc>
      </w:tr>
      <w:tr w:rsidR="00606256" w14:paraId="2434509F" w14:textId="3AAF7F10" w:rsidTr="00606256">
        <w:trPr>
          <w:trHeight w:val="287"/>
        </w:trPr>
        <w:tc>
          <w:tcPr>
            <w:tcW w:w="3222" w:type="dxa"/>
          </w:tcPr>
          <w:p w14:paraId="394FAB7F" w14:textId="77777777" w:rsidR="00606256" w:rsidRDefault="00606256">
            <w:r>
              <w:t>NEavg2</w:t>
            </w:r>
          </w:p>
        </w:tc>
        <w:tc>
          <w:tcPr>
            <w:tcW w:w="2132" w:type="dxa"/>
          </w:tcPr>
          <w:p w14:paraId="4072EA0C" w14:textId="77777777" w:rsidR="00606256" w:rsidRDefault="00606256">
            <w:r>
              <w:t>194.0483</w:t>
            </w:r>
          </w:p>
        </w:tc>
        <w:tc>
          <w:tcPr>
            <w:tcW w:w="2068" w:type="dxa"/>
          </w:tcPr>
          <w:p w14:paraId="1389B012" w14:textId="77777777" w:rsidR="00606256" w:rsidRDefault="00606256">
            <w:r>
              <w:t>48.0459</w:t>
            </w:r>
          </w:p>
        </w:tc>
        <w:tc>
          <w:tcPr>
            <w:tcW w:w="1928" w:type="dxa"/>
          </w:tcPr>
          <w:p w14:paraId="514F0421" w14:textId="14CB727E" w:rsidR="00606256" w:rsidRDefault="00606256" w:rsidP="00606256">
            <w:pPr>
              <w:jc w:val="center"/>
            </w:pPr>
            <w:r>
              <w:t xml:space="preserve">  </w:t>
            </w:r>
          </w:p>
          <w:p w14:paraId="79AA4A85" w14:textId="0FD7EE4F" w:rsidR="00606256" w:rsidRDefault="00606256" w:rsidP="00606256">
            <w:pPr>
              <w:jc w:val="center"/>
            </w:pPr>
          </w:p>
        </w:tc>
      </w:tr>
      <w:tr w:rsidR="00606256" w14:paraId="6EEFB571" w14:textId="14F9DBFC" w:rsidTr="00606256">
        <w:trPr>
          <w:trHeight w:val="287"/>
        </w:trPr>
        <w:tc>
          <w:tcPr>
            <w:tcW w:w="3222" w:type="dxa"/>
          </w:tcPr>
          <w:p w14:paraId="239B41E4" w14:textId="77777777" w:rsidR="00606256" w:rsidRDefault="00606256">
            <w:r>
              <w:t>GAE1</w:t>
            </w:r>
          </w:p>
        </w:tc>
        <w:tc>
          <w:tcPr>
            <w:tcW w:w="2132" w:type="dxa"/>
          </w:tcPr>
          <w:p w14:paraId="163B7B15" w14:textId="77777777" w:rsidR="00606256" w:rsidRDefault="00606256">
            <w:r>
              <w:t>286.388367</w:t>
            </w:r>
          </w:p>
        </w:tc>
        <w:tc>
          <w:tcPr>
            <w:tcW w:w="2068" w:type="dxa"/>
          </w:tcPr>
          <w:p w14:paraId="02ED9166" w14:textId="77777777" w:rsidR="00606256" w:rsidRDefault="00606256">
            <w:r>
              <w:t>46.5774</w:t>
            </w:r>
          </w:p>
        </w:tc>
        <w:tc>
          <w:tcPr>
            <w:tcW w:w="1928" w:type="dxa"/>
          </w:tcPr>
          <w:p w14:paraId="17F62F8D" w14:textId="32AE22F9" w:rsidR="00606256" w:rsidRDefault="00606256" w:rsidP="00606256">
            <w:pPr>
              <w:jc w:val="center"/>
            </w:pPr>
            <w:r>
              <w:t>64.3600</w:t>
            </w:r>
          </w:p>
          <w:p w14:paraId="5A8AE945" w14:textId="5D806619" w:rsidR="00606256" w:rsidRDefault="00606256" w:rsidP="00606256">
            <w:pPr>
              <w:jc w:val="center"/>
            </w:pPr>
            <w:r>
              <w:t>4.0111</w:t>
            </w:r>
          </w:p>
          <w:p w14:paraId="1E23ECFC" w14:textId="21D9BD67" w:rsidR="00606256" w:rsidRDefault="00606256" w:rsidP="00606256">
            <w:pPr>
              <w:jc w:val="center"/>
            </w:pPr>
            <w:r>
              <w:t>2.5912</w:t>
            </w:r>
          </w:p>
          <w:p w14:paraId="50791C33" w14:textId="3943D69C" w:rsidR="00606256" w:rsidRDefault="00606256" w:rsidP="00606256">
            <w:pPr>
              <w:jc w:val="center"/>
            </w:pPr>
            <w:r>
              <w:t>3.7043</w:t>
            </w:r>
          </w:p>
        </w:tc>
      </w:tr>
      <w:tr w:rsidR="00606256" w14:paraId="2E7A052E" w14:textId="513BBF92" w:rsidTr="00606256">
        <w:trPr>
          <w:trHeight w:val="287"/>
        </w:trPr>
        <w:tc>
          <w:tcPr>
            <w:tcW w:w="3222" w:type="dxa"/>
          </w:tcPr>
          <w:p w14:paraId="025DEC47" w14:textId="77777777" w:rsidR="00606256" w:rsidRDefault="00606256">
            <w:r>
              <w:t>NEE1</w:t>
            </w:r>
          </w:p>
        </w:tc>
        <w:tc>
          <w:tcPr>
            <w:tcW w:w="2132" w:type="dxa"/>
          </w:tcPr>
          <w:p w14:paraId="683E13DE" w14:textId="77777777" w:rsidR="00606256" w:rsidRDefault="00606256">
            <w:r>
              <w:t>279.945068</w:t>
            </w:r>
          </w:p>
        </w:tc>
        <w:tc>
          <w:tcPr>
            <w:tcW w:w="2068" w:type="dxa"/>
          </w:tcPr>
          <w:p w14:paraId="308D0EB5" w14:textId="77777777" w:rsidR="00606256" w:rsidRDefault="00606256">
            <w:r>
              <w:t>46.4947</w:t>
            </w:r>
          </w:p>
        </w:tc>
        <w:tc>
          <w:tcPr>
            <w:tcW w:w="1928" w:type="dxa"/>
          </w:tcPr>
          <w:p w14:paraId="4CBF5DD4" w14:textId="7A8CEF5E" w:rsidR="00606256" w:rsidRDefault="00606256" w:rsidP="00606256">
            <w:pPr>
              <w:jc w:val="center"/>
            </w:pPr>
            <w:r>
              <w:t>-54.1827</w:t>
            </w:r>
          </w:p>
          <w:p w14:paraId="647F64EE" w14:textId="0BC7DB0B" w:rsidR="00606256" w:rsidRDefault="00606256" w:rsidP="00606256">
            <w:pPr>
              <w:jc w:val="center"/>
            </w:pPr>
            <w:r>
              <w:t>2.4488</w:t>
            </w:r>
          </w:p>
          <w:p w14:paraId="064FF347" w14:textId="0D2AEC12" w:rsidR="00606256" w:rsidRDefault="00606256" w:rsidP="00606256">
            <w:pPr>
              <w:jc w:val="center"/>
            </w:pPr>
            <w:r>
              <w:t>1.3406</w:t>
            </w:r>
          </w:p>
          <w:p w14:paraId="7C312538" w14:textId="42AF356C" w:rsidR="00606256" w:rsidRDefault="00606256" w:rsidP="00606256">
            <w:pPr>
              <w:jc w:val="center"/>
            </w:pPr>
            <w:r>
              <w:t>1.0630</w:t>
            </w:r>
          </w:p>
        </w:tc>
      </w:tr>
      <w:tr w:rsidR="00606256" w14:paraId="6999B0BA" w14:textId="046DC5BD" w:rsidTr="00606256">
        <w:trPr>
          <w:trHeight w:val="287"/>
        </w:trPr>
        <w:tc>
          <w:tcPr>
            <w:tcW w:w="3222" w:type="dxa"/>
          </w:tcPr>
          <w:p w14:paraId="2B5A846B" w14:textId="77777777" w:rsidR="00606256" w:rsidRDefault="00606256">
            <w:r>
              <w:t>GAE2</w:t>
            </w:r>
          </w:p>
        </w:tc>
        <w:tc>
          <w:tcPr>
            <w:tcW w:w="2132" w:type="dxa"/>
          </w:tcPr>
          <w:p w14:paraId="4A96BD62" w14:textId="77777777" w:rsidR="00606256" w:rsidRDefault="00606256">
            <w:r>
              <w:t>288.3865</w:t>
            </w:r>
          </w:p>
        </w:tc>
        <w:tc>
          <w:tcPr>
            <w:tcW w:w="2068" w:type="dxa"/>
          </w:tcPr>
          <w:p w14:paraId="13EC4181" w14:textId="77777777" w:rsidR="00606256" w:rsidRDefault="00606256">
            <w:r>
              <w:t>32.3311</w:t>
            </w:r>
          </w:p>
        </w:tc>
        <w:tc>
          <w:tcPr>
            <w:tcW w:w="1928" w:type="dxa"/>
          </w:tcPr>
          <w:p w14:paraId="1B839FAF" w14:textId="77777777" w:rsidR="00606256" w:rsidRDefault="00606256" w:rsidP="00606256">
            <w:pPr>
              <w:jc w:val="center"/>
            </w:pPr>
            <w:r>
              <w:t>72.4730</w:t>
            </w:r>
          </w:p>
          <w:p w14:paraId="2391B050" w14:textId="56A143A1" w:rsidR="00606256" w:rsidRDefault="00606256" w:rsidP="00606256">
            <w:pPr>
              <w:jc w:val="center"/>
            </w:pPr>
            <w:r>
              <w:t>2.6122</w:t>
            </w:r>
          </w:p>
          <w:p w14:paraId="2725C3F2" w14:textId="03AC57B3" w:rsidR="00606256" w:rsidRDefault="00606256" w:rsidP="00606256">
            <w:pPr>
              <w:jc w:val="center"/>
            </w:pPr>
            <w:r>
              <w:t>2.8793</w:t>
            </w:r>
          </w:p>
          <w:p w14:paraId="0247A8D3" w14:textId="05AD2A33" w:rsidR="00606256" w:rsidRDefault="00606256" w:rsidP="00606256">
            <w:pPr>
              <w:jc w:val="center"/>
            </w:pPr>
            <w:r>
              <w:t>3.8909</w:t>
            </w:r>
          </w:p>
        </w:tc>
      </w:tr>
      <w:tr w:rsidR="00606256" w14:paraId="6ADFA453" w14:textId="12244CDE" w:rsidTr="00606256">
        <w:trPr>
          <w:trHeight w:val="287"/>
        </w:trPr>
        <w:tc>
          <w:tcPr>
            <w:tcW w:w="3222" w:type="dxa"/>
          </w:tcPr>
          <w:p w14:paraId="37407890" w14:textId="77777777" w:rsidR="00606256" w:rsidRDefault="00606256">
            <w:r>
              <w:t>NEE2</w:t>
            </w:r>
          </w:p>
        </w:tc>
        <w:tc>
          <w:tcPr>
            <w:tcW w:w="2132" w:type="dxa"/>
          </w:tcPr>
          <w:p w14:paraId="3F5E0D1F" w14:textId="77777777" w:rsidR="00606256" w:rsidRDefault="00606256">
            <w:r>
              <w:t>284.591438</w:t>
            </w:r>
          </w:p>
        </w:tc>
        <w:tc>
          <w:tcPr>
            <w:tcW w:w="2068" w:type="dxa"/>
          </w:tcPr>
          <w:p w14:paraId="162A2BD1" w14:textId="77777777" w:rsidR="00606256" w:rsidRDefault="00606256">
            <w:r>
              <w:t>32.4794</w:t>
            </w:r>
          </w:p>
        </w:tc>
        <w:tc>
          <w:tcPr>
            <w:tcW w:w="1928" w:type="dxa"/>
          </w:tcPr>
          <w:p w14:paraId="6DCC7023" w14:textId="5F389488" w:rsidR="00606256" w:rsidRDefault="00606256" w:rsidP="00606256">
            <w:pPr>
              <w:tabs>
                <w:tab w:val="left" w:pos="300"/>
              </w:tabs>
              <w:jc w:val="center"/>
            </w:pPr>
            <w:r>
              <w:t>-17.3644</w:t>
            </w:r>
          </w:p>
          <w:p w14:paraId="56F6EEC4" w14:textId="18A7137B" w:rsidR="00606256" w:rsidRDefault="00606256" w:rsidP="00606256">
            <w:pPr>
              <w:tabs>
                <w:tab w:val="left" w:pos="300"/>
              </w:tabs>
              <w:jc w:val="center"/>
            </w:pPr>
            <w:r>
              <w:t>1.4260</w:t>
            </w:r>
          </w:p>
          <w:p w14:paraId="5A32BF60" w14:textId="5CA302A4" w:rsidR="00606256" w:rsidRDefault="00606256" w:rsidP="00606256">
            <w:pPr>
              <w:tabs>
                <w:tab w:val="left" w:pos="300"/>
              </w:tabs>
              <w:jc w:val="center"/>
            </w:pPr>
            <w:r>
              <w:t>1.2168</w:t>
            </w:r>
          </w:p>
          <w:p w14:paraId="15A5AC8E" w14:textId="74A926D1" w:rsidR="00606256" w:rsidRDefault="00606256" w:rsidP="00606256">
            <w:pPr>
              <w:tabs>
                <w:tab w:val="left" w:pos="300"/>
              </w:tabs>
              <w:jc w:val="center"/>
            </w:pPr>
            <w:r>
              <w:t>1.0308</w:t>
            </w:r>
          </w:p>
        </w:tc>
      </w:tr>
      <w:tr w:rsidR="00606256" w14:paraId="2B0AD9BC" w14:textId="0FD98E25" w:rsidTr="00606256">
        <w:trPr>
          <w:trHeight w:val="287"/>
        </w:trPr>
        <w:tc>
          <w:tcPr>
            <w:tcW w:w="3222" w:type="dxa"/>
          </w:tcPr>
          <w:p w14:paraId="195F42EF" w14:textId="77777777" w:rsidR="00606256" w:rsidRDefault="00606256">
            <w:r>
              <w:t>GAE3</w:t>
            </w:r>
          </w:p>
        </w:tc>
        <w:tc>
          <w:tcPr>
            <w:tcW w:w="2132" w:type="dxa"/>
          </w:tcPr>
          <w:p w14:paraId="76977947" w14:textId="77777777" w:rsidR="00606256" w:rsidRDefault="00606256">
            <w:r>
              <w:t>331.919498</w:t>
            </w:r>
          </w:p>
        </w:tc>
        <w:tc>
          <w:tcPr>
            <w:tcW w:w="2068" w:type="dxa"/>
          </w:tcPr>
          <w:p w14:paraId="2C148A50" w14:textId="77777777" w:rsidR="00606256" w:rsidRDefault="00606256">
            <w:r>
              <w:t>42.6007</w:t>
            </w:r>
          </w:p>
        </w:tc>
        <w:tc>
          <w:tcPr>
            <w:tcW w:w="1928" w:type="dxa"/>
          </w:tcPr>
          <w:p w14:paraId="7322884F" w14:textId="77777777" w:rsidR="00606256" w:rsidRDefault="00606256" w:rsidP="00606256">
            <w:pPr>
              <w:jc w:val="center"/>
            </w:pPr>
            <w:r>
              <w:t>60.1232</w:t>
            </w:r>
          </w:p>
          <w:p w14:paraId="0ED43E28" w14:textId="4B956769" w:rsidR="00606256" w:rsidRDefault="00606256" w:rsidP="00606256">
            <w:pPr>
              <w:jc w:val="center"/>
            </w:pPr>
            <w:r>
              <w:t>1.9901</w:t>
            </w:r>
          </w:p>
          <w:p w14:paraId="7F6136F4" w14:textId="3DAD100B" w:rsidR="00606256" w:rsidRDefault="00606256" w:rsidP="00606256">
            <w:pPr>
              <w:jc w:val="center"/>
            </w:pPr>
            <w:r>
              <w:t>3.0563</w:t>
            </w:r>
          </w:p>
          <w:p w14:paraId="282ECAA7" w14:textId="334D5B3A" w:rsidR="00606256" w:rsidRDefault="00606256" w:rsidP="00606256">
            <w:pPr>
              <w:jc w:val="center"/>
            </w:pPr>
            <w:r>
              <w:t>5.6655</w:t>
            </w:r>
          </w:p>
        </w:tc>
      </w:tr>
      <w:tr w:rsidR="00606256" w14:paraId="73234DC7" w14:textId="26213EC3" w:rsidTr="00606256">
        <w:trPr>
          <w:trHeight w:val="287"/>
        </w:trPr>
        <w:tc>
          <w:tcPr>
            <w:tcW w:w="3222" w:type="dxa"/>
          </w:tcPr>
          <w:p w14:paraId="402172BB" w14:textId="77777777" w:rsidR="00606256" w:rsidRDefault="00606256">
            <w:r>
              <w:t>NEE3</w:t>
            </w:r>
          </w:p>
        </w:tc>
        <w:tc>
          <w:tcPr>
            <w:tcW w:w="2132" w:type="dxa"/>
          </w:tcPr>
          <w:p w14:paraId="5E3B3BC2" w14:textId="77777777" w:rsidR="00606256" w:rsidRDefault="00606256">
            <w:r>
              <w:t>331.260993</w:t>
            </w:r>
          </w:p>
        </w:tc>
        <w:tc>
          <w:tcPr>
            <w:tcW w:w="2068" w:type="dxa"/>
          </w:tcPr>
          <w:p w14:paraId="21707ACA" w14:textId="77777777" w:rsidR="00606256" w:rsidRDefault="00606256">
            <w:r>
              <w:t>42.5377</w:t>
            </w:r>
          </w:p>
        </w:tc>
        <w:tc>
          <w:tcPr>
            <w:tcW w:w="1928" w:type="dxa"/>
          </w:tcPr>
          <w:p w14:paraId="0BEF8F0E" w14:textId="77777777" w:rsidR="00606256" w:rsidRDefault="00606256" w:rsidP="00606256">
            <w:pPr>
              <w:jc w:val="center"/>
            </w:pPr>
            <w:r>
              <w:t>-38.36419</w:t>
            </w:r>
          </w:p>
          <w:p w14:paraId="004FCB41" w14:textId="39B182C2" w:rsidR="00606256" w:rsidRDefault="00606256" w:rsidP="00606256">
            <w:pPr>
              <w:jc w:val="center"/>
            </w:pPr>
            <w:r>
              <w:t>0.98548</w:t>
            </w:r>
          </w:p>
          <w:p w14:paraId="103534D0" w14:textId="69F21947" w:rsidR="00606256" w:rsidRDefault="00606256" w:rsidP="00606256">
            <w:pPr>
              <w:jc w:val="center"/>
            </w:pPr>
            <w:r>
              <w:t>1.27248</w:t>
            </w:r>
          </w:p>
          <w:p w14:paraId="64718D5D" w14:textId="07C0999B" w:rsidR="00606256" w:rsidRDefault="00606256" w:rsidP="00606256">
            <w:pPr>
              <w:jc w:val="center"/>
            </w:pPr>
            <w:r>
              <w:t>1.58942</w:t>
            </w:r>
          </w:p>
        </w:tc>
      </w:tr>
      <w:tr w:rsidR="00606256" w14:paraId="286A543B" w14:textId="73491068" w:rsidTr="00606256">
        <w:trPr>
          <w:trHeight w:val="287"/>
        </w:trPr>
        <w:tc>
          <w:tcPr>
            <w:tcW w:w="3222" w:type="dxa"/>
          </w:tcPr>
          <w:p w14:paraId="3DACE16B" w14:textId="77777777" w:rsidR="00606256" w:rsidRDefault="00606256">
            <w:r>
              <w:t>GAF1</w:t>
            </w:r>
          </w:p>
        </w:tc>
        <w:tc>
          <w:tcPr>
            <w:tcW w:w="2132" w:type="dxa"/>
          </w:tcPr>
          <w:p w14:paraId="2C50A9AD" w14:textId="77777777" w:rsidR="00606256" w:rsidRDefault="00606256">
            <w:r>
              <w:t>880.776839</w:t>
            </w:r>
          </w:p>
        </w:tc>
        <w:tc>
          <w:tcPr>
            <w:tcW w:w="2068" w:type="dxa"/>
          </w:tcPr>
          <w:p w14:paraId="2D8A2997" w14:textId="77777777" w:rsidR="00606256" w:rsidRDefault="00606256">
            <w:r>
              <w:t>36.8260</w:t>
            </w:r>
          </w:p>
        </w:tc>
        <w:tc>
          <w:tcPr>
            <w:tcW w:w="1928" w:type="dxa"/>
          </w:tcPr>
          <w:p w14:paraId="5D0A42E4" w14:textId="77777777" w:rsidR="00606256" w:rsidRDefault="00606256" w:rsidP="00606256">
            <w:pPr>
              <w:jc w:val="center"/>
            </w:pPr>
            <w:r>
              <w:t>136.5289</w:t>
            </w:r>
          </w:p>
          <w:p w14:paraId="6DB51418" w14:textId="02D17680" w:rsidR="00606256" w:rsidRDefault="00606256" w:rsidP="00606256">
            <w:pPr>
              <w:jc w:val="center"/>
            </w:pPr>
            <w:r>
              <w:t>3.9853</w:t>
            </w:r>
          </w:p>
          <w:p w14:paraId="56D0D2CE" w14:textId="38BBBFE7" w:rsidR="00606256" w:rsidRDefault="00606256" w:rsidP="00606256">
            <w:pPr>
              <w:jc w:val="center"/>
            </w:pPr>
            <w:r>
              <w:t>5.8113</w:t>
            </w:r>
          </w:p>
          <w:p w14:paraId="55076E00" w14:textId="15BDCBA0" w:rsidR="00606256" w:rsidRDefault="00606256" w:rsidP="00606256">
            <w:pPr>
              <w:jc w:val="center"/>
            </w:pPr>
            <w:r>
              <w:t>10.6041</w:t>
            </w:r>
          </w:p>
        </w:tc>
      </w:tr>
      <w:tr w:rsidR="00606256" w14:paraId="5DFB4842" w14:textId="1913D889" w:rsidTr="00606256">
        <w:trPr>
          <w:trHeight w:val="287"/>
        </w:trPr>
        <w:tc>
          <w:tcPr>
            <w:tcW w:w="3222" w:type="dxa"/>
          </w:tcPr>
          <w:p w14:paraId="11B8D05D" w14:textId="77777777" w:rsidR="00606256" w:rsidRDefault="00606256">
            <w:r>
              <w:t>NEF1</w:t>
            </w:r>
          </w:p>
        </w:tc>
        <w:tc>
          <w:tcPr>
            <w:tcW w:w="2132" w:type="dxa"/>
          </w:tcPr>
          <w:p w14:paraId="7A1E3B0D" w14:textId="77777777" w:rsidR="00606256" w:rsidRDefault="00606256">
            <w:r>
              <w:t>870.796390</w:t>
            </w:r>
          </w:p>
        </w:tc>
        <w:tc>
          <w:tcPr>
            <w:tcW w:w="2068" w:type="dxa"/>
          </w:tcPr>
          <w:p w14:paraId="74CC558F" w14:textId="77777777" w:rsidR="00606256" w:rsidRDefault="00606256">
            <w:r>
              <w:t>36.9025</w:t>
            </w:r>
          </w:p>
        </w:tc>
        <w:tc>
          <w:tcPr>
            <w:tcW w:w="1928" w:type="dxa"/>
          </w:tcPr>
          <w:p w14:paraId="1D47405A" w14:textId="77777777" w:rsidR="00606256" w:rsidRDefault="00606256" w:rsidP="00606256">
            <w:pPr>
              <w:jc w:val="center"/>
            </w:pPr>
            <w:r>
              <w:t>-43.4590</w:t>
            </w:r>
          </w:p>
          <w:p w14:paraId="517C7D82" w14:textId="2D398747" w:rsidR="00606256" w:rsidRDefault="00606256" w:rsidP="00606256">
            <w:pPr>
              <w:jc w:val="center"/>
            </w:pPr>
            <w:r>
              <w:t>1.8561</w:t>
            </w:r>
          </w:p>
          <w:p w14:paraId="2FE7C2A3" w14:textId="13077395" w:rsidR="00606256" w:rsidRDefault="00606256" w:rsidP="00606256">
            <w:pPr>
              <w:jc w:val="center"/>
            </w:pPr>
            <w:r>
              <w:t>2.3109</w:t>
            </w:r>
          </w:p>
          <w:p w14:paraId="2966ADC7" w14:textId="1FE9C4DE" w:rsidR="00606256" w:rsidRDefault="00606256" w:rsidP="00606256">
            <w:pPr>
              <w:jc w:val="center"/>
            </w:pPr>
            <w:r>
              <w:t>2.9215</w:t>
            </w:r>
          </w:p>
        </w:tc>
      </w:tr>
      <w:tr w:rsidR="0061110F" w14:paraId="6E2FF3E2" w14:textId="77777777" w:rsidTr="00606256">
        <w:trPr>
          <w:trHeight w:val="287"/>
        </w:trPr>
        <w:tc>
          <w:tcPr>
            <w:tcW w:w="3222" w:type="dxa"/>
          </w:tcPr>
          <w:p w14:paraId="742F6EA0" w14:textId="0BE087B9" w:rsidR="0061110F" w:rsidRDefault="0061110F">
            <w:r>
              <w:t>161E1toE2</w:t>
            </w:r>
            <w:r w:rsidR="00375A39">
              <w:t xml:space="preserve"> Gradient</w:t>
            </w:r>
          </w:p>
        </w:tc>
        <w:tc>
          <w:tcPr>
            <w:tcW w:w="2132" w:type="dxa"/>
          </w:tcPr>
          <w:p w14:paraId="5AB3EF21" w14:textId="23DB51C3" w:rsidR="0061110F" w:rsidRDefault="00DF0F96">
            <w:r>
              <w:t>189.122</w:t>
            </w:r>
          </w:p>
        </w:tc>
        <w:tc>
          <w:tcPr>
            <w:tcW w:w="2068" w:type="dxa"/>
          </w:tcPr>
          <w:p w14:paraId="43E99A55" w14:textId="3E5D94D1" w:rsidR="0061110F" w:rsidRDefault="00DF0F96">
            <w:r>
              <w:t>68.048</w:t>
            </w:r>
          </w:p>
        </w:tc>
        <w:tc>
          <w:tcPr>
            <w:tcW w:w="1928" w:type="dxa"/>
          </w:tcPr>
          <w:p w14:paraId="7A4E4242" w14:textId="1CECF7D3" w:rsidR="00DF0F96" w:rsidRDefault="00DF0F96" w:rsidP="00DF0F96">
            <w:pPr>
              <w:jc w:val="center"/>
            </w:pPr>
            <w:r>
              <w:t xml:space="preserve"> 69.903190</w:t>
            </w:r>
          </w:p>
          <w:p w14:paraId="73D28472" w14:textId="2750CE72" w:rsidR="0061110F" w:rsidRDefault="00DF0F96" w:rsidP="00DF0F96">
            <w:pPr>
              <w:jc w:val="center"/>
            </w:pPr>
            <w:r>
              <w:t xml:space="preserve"> 14.383603</w:t>
            </w:r>
          </w:p>
        </w:tc>
      </w:tr>
      <w:tr w:rsidR="0061110F" w14:paraId="1401C7AE" w14:textId="77777777" w:rsidTr="00606256">
        <w:trPr>
          <w:trHeight w:val="287"/>
        </w:trPr>
        <w:tc>
          <w:tcPr>
            <w:tcW w:w="3222" w:type="dxa"/>
          </w:tcPr>
          <w:p w14:paraId="545E40FB" w14:textId="4E97508C" w:rsidR="0061110F" w:rsidRDefault="0061110F">
            <w:r>
              <w:t>161E</w:t>
            </w:r>
            <w:r w:rsidR="00375A39">
              <w:t>1</w:t>
            </w:r>
            <w:r>
              <w:t>toE</w:t>
            </w:r>
            <w:r w:rsidR="00375A39">
              <w:t>2 Normal</w:t>
            </w:r>
          </w:p>
        </w:tc>
        <w:tc>
          <w:tcPr>
            <w:tcW w:w="2132" w:type="dxa"/>
          </w:tcPr>
          <w:p w14:paraId="3EEFC629" w14:textId="68F84120" w:rsidR="00DF0F96" w:rsidRDefault="00DF0F96">
            <w:r>
              <w:t>190.845965</w:t>
            </w:r>
          </w:p>
        </w:tc>
        <w:tc>
          <w:tcPr>
            <w:tcW w:w="2068" w:type="dxa"/>
          </w:tcPr>
          <w:p w14:paraId="0F91D8BB" w14:textId="3BF1A0F3" w:rsidR="0061110F" w:rsidRDefault="00DF0F96">
            <w:r>
              <w:t>68.048</w:t>
            </w:r>
          </w:p>
        </w:tc>
        <w:tc>
          <w:tcPr>
            <w:tcW w:w="1928" w:type="dxa"/>
          </w:tcPr>
          <w:p w14:paraId="1E84BD37" w14:textId="2BC6B16D" w:rsidR="00DF0F96" w:rsidRDefault="00DF0F96" w:rsidP="00DF0F96">
            <w:pPr>
              <w:jc w:val="center"/>
            </w:pPr>
            <w:r>
              <w:t>15.822812</w:t>
            </w:r>
          </w:p>
          <w:p w14:paraId="69343C7F" w14:textId="655B968F" w:rsidR="0061110F" w:rsidRDefault="00DF0F96" w:rsidP="00DF0F96">
            <w:pPr>
              <w:jc w:val="center"/>
            </w:pPr>
            <w:r>
              <w:t xml:space="preserve"> 0.809112</w:t>
            </w:r>
          </w:p>
        </w:tc>
      </w:tr>
      <w:tr w:rsidR="0061110F" w14:paraId="1CF9BA51" w14:textId="77777777" w:rsidTr="00606256">
        <w:trPr>
          <w:trHeight w:val="287"/>
        </w:trPr>
        <w:tc>
          <w:tcPr>
            <w:tcW w:w="3222" w:type="dxa"/>
          </w:tcPr>
          <w:p w14:paraId="599D425C" w14:textId="3556C4CE" w:rsidR="0061110F" w:rsidRDefault="0061110F">
            <w:r>
              <w:t>161E</w:t>
            </w:r>
            <w:r w:rsidR="00375A39">
              <w:t>2</w:t>
            </w:r>
            <w:r>
              <w:t>to</w:t>
            </w:r>
            <w:r w:rsidR="00375A39">
              <w:t>E3 Gradient</w:t>
            </w:r>
          </w:p>
        </w:tc>
        <w:tc>
          <w:tcPr>
            <w:tcW w:w="2132" w:type="dxa"/>
          </w:tcPr>
          <w:p w14:paraId="01079AA4" w14:textId="6FF4629C" w:rsidR="0061110F" w:rsidRDefault="00225E13">
            <w:r>
              <w:t>200.267</w:t>
            </w:r>
          </w:p>
        </w:tc>
        <w:tc>
          <w:tcPr>
            <w:tcW w:w="2068" w:type="dxa"/>
          </w:tcPr>
          <w:p w14:paraId="1BC4498A" w14:textId="3B575775" w:rsidR="0061110F" w:rsidRDefault="00225E13">
            <w:r>
              <w:t>73.442</w:t>
            </w:r>
          </w:p>
        </w:tc>
        <w:tc>
          <w:tcPr>
            <w:tcW w:w="1928" w:type="dxa"/>
          </w:tcPr>
          <w:p w14:paraId="53EB8F1A" w14:textId="77777777" w:rsidR="00225E13" w:rsidRDefault="00225E13" w:rsidP="00225E13">
            <w:pPr>
              <w:jc w:val="center"/>
            </w:pPr>
            <w:r>
              <w:t>64.046059</w:t>
            </w:r>
          </w:p>
          <w:p w14:paraId="5446034E" w14:textId="0EDDB91B" w:rsidR="0061110F" w:rsidRDefault="00225E13" w:rsidP="00225E13">
            <w:pPr>
              <w:jc w:val="center"/>
            </w:pPr>
            <w:r>
              <w:t xml:space="preserve"> 17.837478</w:t>
            </w:r>
          </w:p>
        </w:tc>
      </w:tr>
      <w:tr w:rsidR="0061110F" w14:paraId="0489B061" w14:textId="77777777" w:rsidTr="00606256">
        <w:trPr>
          <w:trHeight w:val="287"/>
        </w:trPr>
        <w:tc>
          <w:tcPr>
            <w:tcW w:w="3222" w:type="dxa"/>
          </w:tcPr>
          <w:p w14:paraId="54CB6830" w14:textId="301BC3EC" w:rsidR="0061110F" w:rsidRDefault="0061110F">
            <w:r>
              <w:t>16</w:t>
            </w:r>
            <w:r w:rsidR="00375A39">
              <w:t>1</w:t>
            </w:r>
            <w:r>
              <w:t>E</w:t>
            </w:r>
            <w:r w:rsidR="00375A39">
              <w:t>2</w:t>
            </w:r>
            <w:r>
              <w:t>toE</w:t>
            </w:r>
            <w:r w:rsidR="00375A39">
              <w:t>3 Normal</w:t>
            </w:r>
          </w:p>
        </w:tc>
        <w:tc>
          <w:tcPr>
            <w:tcW w:w="2132" w:type="dxa"/>
          </w:tcPr>
          <w:p w14:paraId="1A68DDC5" w14:textId="18D98467" w:rsidR="0061110F" w:rsidRDefault="00225E13">
            <w:r>
              <w:t>205.5959</w:t>
            </w:r>
          </w:p>
        </w:tc>
        <w:tc>
          <w:tcPr>
            <w:tcW w:w="2068" w:type="dxa"/>
          </w:tcPr>
          <w:p w14:paraId="44108A5C" w14:textId="07ED759C" w:rsidR="0061110F" w:rsidRDefault="00225E13">
            <w:r>
              <w:t>73.442</w:t>
            </w:r>
          </w:p>
        </w:tc>
        <w:tc>
          <w:tcPr>
            <w:tcW w:w="1928" w:type="dxa"/>
          </w:tcPr>
          <w:p w14:paraId="16DAC9E0" w14:textId="4CA20F6E" w:rsidR="00225E13" w:rsidRDefault="00225E13" w:rsidP="00225E13">
            <w:pPr>
              <w:jc w:val="center"/>
            </w:pPr>
            <w:r>
              <w:t xml:space="preserve"> 0.829589</w:t>
            </w:r>
          </w:p>
          <w:p w14:paraId="4998C350" w14:textId="627F6712" w:rsidR="0061110F" w:rsidRDefault="00225E13" w:rsidP="00225E13">
            <w:pPr>
              <w:jc w:val="center"/>
            </w:pPr>
            <w:r>
              <w:t xml:space="preserve"> 0.905712</w:t>
            </w:r>
          </w:p>
        </w:tc>
      </w:tr>
      <w:tr w:rsidR="0061110F" w14:paraId="69956012" w14:textId="77777777" w:rsidTr="00606256">
        <w:trPr>
          <w:trHeight w:val="287"/>
        </w:trPr>
        <w:tc>
          <w:tcPr>
            <w:tcW w:w="3222" w:type="dxa"/>
          </w:tcPr>
          <w:p w14:paraId="68D43F93" w14:textId="58DDE70F" w:rsidR="0061110F" w:rsidRDefault="0061110F">
            <w:r>
              <w:lastRenderedPageBreak/>
              <w:t>16</w:t>
            </w:r>
            <w:r w:rsidR="00375A39">
              <w:t>1</w:t>
            </w:r>
            <w:r>
              <w:t>E</w:t>
            </w:r>
            <w:r w:rsidR="00375A39">
              <w:t>3</w:t>
            </w:r>
            <w:r>
              <w:t>to</w:t>
            </w:r>
            <w:r w:rsidR="00375A39">
              <w:t>F1 Gradient</w:t>
            </w:r>
          </w:p>
        </w:tc>
        <w:tc>
          <w:tcPr>
            <w:tcW w:w="2132" w:type="dxa"/>
          </w:tcPr>
          <w:p w14:paraId="3197E9EF" w14:textId="32412CA0" w:rsidR="0061110F" w:rsidRDefault="00A565F2">
            <w:r>
              <w:t>463.387482</w:t>
            </w:r>
          </w:p>
        </w:tc>
        <w:tc>
          <w:tcPr>
            <w:tcW w:w="2068" w:type="dxa"/>
          </w:tcPr>
          <w:p w14:paraId="2BF63A9C" w14:textId="54F93C17" w:rsidR="0061110F" w:rsidRDefault="00A565F2">
            <w:r>
              <w:t>89.0570</w:t>
            </w:r>
          </w:p>
        </w:tc>
        <w:tc>
          <w:tcPr>
            <w:tcW w:w="1928" w:type="dxa"/>
          </w:tcPr>
          <w:p w14:paraId="036E028A" w14:textId="278F2741" w:rsidR="00A565F2" w:rsidRDefault="00A565F2" w:rsidP="00A565F2">
            <w:pPr>
              <w:jc w:val="center"/>
            </w:pPr>
            <w:r>
              <w:t xml:space="preserve">  </w:t>
            </w:r>
            <w:r>
              <w:rPr>
                <w:rFonts w:ascii="Cambria Math" w:hAnsi="Cambria Math" w:cs="Cambria Math"/>
              </w:rPr>
              <w:t>1</w:t>
            </w:r>
            <w:r>
              <w:rPr>
                <w:rFonts w:cs="Estrangelo Edessa"/>
                <w:rtl/>
                <w:lang w:bidi="syr-SY"/>
              </w:rPr>
              <w:t>22.917756</w:t>
            </w:r>
          </w:p>
          <w:p w14:paraId="203342C6" w14:textId="2E641252" w:rsidR="0061110F" w:rsidRDefault="00A565F2" w:rsidP="00A565F2">
            <w:pPr>
              <w:jc w:val="center"/>
            </w:pPr>
            <w:r>
              <w:t xml:space="preserve"> 30.406431</w:t>
            </w:r>
          </w:p>
        </w:tc>
      </w:tr>
      <w:tr w:rsidR="0061110F" w14:paraId="2A20AC20" w14:textId="77777777" w:rsidTr="00606256">
        <w:trPr>
          <w:trHeight w:val="287"/>
        </w:trPr>
        <w:tc>
          <w:tcPr>
            <w:tcW w:w="3222" w:type="dxa"/>
          </w:tcPr>
          <w:p w14:paraId="61BE5275" w14:textId="11B2269D" w:rsidR="0061110F" w:rsidRDefault="0061110F">
            <w:r>
              <w:t>16</w:t>
            </w:r>
            <w:r w:rsidR="00375A39">
              <w:t>1</w:t>
            </w:r>
            <w:r>
              <w:t>E3toF1</w:t>
            </w:r>
            <w:r w:rsidR="00375A39">
              <w:t xml:space="preserve"> Normal</w:t>
            </w:r>
          </w:p>
        </w:tc>
        <w:tc>
          <w:tcPr>
            <w:tcW w:w="2132" w:type="dxa"/>
          </w:tcPr>
          <w:p w14:paraId="5D6E4AEA" w14:textId="673290F3" w:rsidR="0061110F" w:rsidRDefault="00A565F2">
            <w:r>
              <w:t>475.24365</w:t>
            </w:r>
          </w:p>
        </w:tc>
        <w:tc>
          <w:tcPr>
            <w:tcW w:w="2068" w:type="dxa"/>
          </w:tcPr>
          <w:p w14:paraId="6B3CC8E0" w14:textId="3D3C5DE5" w:rsidR="0061110F" w:rsidRDefault="00A565F2">
            <w:r>
              <w:t>89.0570</w:t>
            </w:r>
          </w:p>
        </w:tc>
        <w:tc>
          <w:tcPr>
            <w:tcW w:w="1928" w:type="dxa"/>
          </w:tcPr>
          <w:p w14:paraId="67EB3725" w14:textId="77777777" w:rsidR="00A565F2" w:rsidRDefault="00A565F2" w:rsidP="00A565F2">
            <w:pPr>
              <w:jc w:val="center"/>
            </w:pPr>
            <w:r>
              <w:t>32.589713</w:t>
            </w:r>
          </w:p>
          <w:p w14:paraId="15F3195C" w14:textId="45AF7064" w:rsidR="0061110F" w:rsidRDefault="00A565F2" w:rsidP="00A565F2">
            <w:pPr>
              <w:jc w:val="center"/>
            </w:pPr>
            <w:r>
              <w:t xml:space="preserve"> 1.500255</w:t>
            </w:r>
          </w:p>
        </w:tc>
      </w:tr>
      <w:tr w:rsidR="00375A39" w14:paraId="3787D39C" w14:textId="77777777" w:rsidTr="00606256">
        <w:trPr>
          <w:trHeight w:val="287"/>
        </w:trPr>
        <w:tc>
          <w:tcPr>
            <w:tcW w:w="3222" w:type="dxa"/>
          </w:tcPr>
          <w:p w14:paraId="61702083" w14:textId="6363C4F0" w:rsidR="00375A39" w:rsidRDefault="00375A39">
            <w:r>
              <w:t>162E1toE2Gradient</w:t>
            </w:r>
          </w:p>
        </w:tc>
        <w:tc>
          <w:tcPr>
            <w:tcW w:w="2132" w:type="dxa"/>
          </w:tcPr>
          <w:p w14:paraId="259C1AFB" w14:textId="3B2519BA" w:rsidR="00375A39" w:rsidRDefault="00A565F2">
            <w:r>
              <w:t>263.7867</w:t>
            </w:r>
          </w:p>
        </w:tc>
        <w:tc>
          <w:tcPr>
            <w:tcW w:w="2068" w:type="dxa"/>
          </w:tcPr>
          <w:p w14:paraId="70C3DD68" w14:textId="2A679919" w:rsidR="00A565F2" w:rsidRDefault="00A565F2">
            <w:r>
              <w:t>72.8116</w:t>
            </w:r>
          </w:p>
        </w:tc>
        <w:tc>
          <w:tcPr>
            <w:tcW w:w="1928" w:type="dxa"/>
          </w:tcPr>
          <w:p w14:paraId="553BAD28" w14:textId="3EF43380" w:rsidR="00A565F2" w:rsidRDefault="00A565F2" w:rsidP="00A565F2">
            <w:pPr>
              <w:jc w:val="center"/>
            </w:pPr>
            <w:r>
              <w:t>61.384609</w:t>
            </w:r>
          </w:p>
          <w:p w14:paraId="2511D0E6" w14:textId="6D6EBDBB" w:rsidR="00375A39" w:rsidRDefault="00A565F2" w:rsidP="00A565F2">
            <w:pPr>
              <w:jc w:val="center"/>
            </w:pPr>
            <w:r>
              <w:t xml:space="preserve"> 15.801447</w:t>
            </w:r>
          </w:p>
        </w:tc>
      </w:tr>
      <w:tr w:rsidR="00375A39" w14:paraId="39F2842A" w14:textId="77777777" w:rsidTr="00606256">
        <w:trPr>
          <w:trHeight w:val="287"/>
        </w:trPr>
        <w:tc>
          <w:tcPr>
            <w:tcW w:w="3222" w:type="dxa"/>
          </w:tcPr>
          <w:p w14:paraId="0D97E2C8" w14:textId="19A0A67D" w:rsidR="00375A39" w:rsidRDefault="00375A39">
            <w:r>
              <w:t>162E1toE2 Normal</w:t>
            </w:r>
          </w:p>
        </w:tc>
        <w:tc>
          <w:tcPr>
            <w:tcW w:w="2132" w:type="dxa"/>
          </w:tcPr>
          <w:p w14:paraId="16E3BDF8" w14:textId="59607043" w:rsidR="00375A39" w:rsidRDefault="00A565F2">
            <w:r>
              <w:t>274.14017</w:t>
            </w:r>
          </w:p>
        </w:tc>
        <w:tc>
          <w:tcPr>
            <w:tcW w:w="2068" w:type="dxa"/>
          </w:tcPr>
          <w:p w14:paraId="39FB861F" w14:textId="58C8BF40" w:rsidR="00375A39" w:rsidRDefault="00A565F2">
            <w:r>
              <w:t>72.8116</w:t>
            </w:r>
          </w:p>
        </w:tc>
        <w:tc>
          <w:tcPr>
            <w:tcW w:w="1928" w:type="dxa"/>
          </w:tcPr>
          <w:p w14:paraId="011B3B62" w14:textId="68FDB7C3" w:rsidR="00A565F2" w:rsidRDefault="00A565F2" w:rsidP="00A565F2">
            <w:pPr>
              <w:jc w:val="center"/>
            </w:pPr>
            <w:r>
              <w:t>9.931252</w:t>
            </w:r>
          </w:p>
          <w:p w14:paraId="0155217E" w14:textId="0CC1C26C" w:rsidR="00375A39" w:rsidRDefault="00A565F2" w:rsidP="00A565F2">
            <w:pPr>
              <w:jc w:val="center"/>
            </w:pPr>
            <w:r>
              <w:t xml:space="preserve"> 0.800263</w:t>
            </w:r>
          </w:p>
        </w:tc>
      </w:tr>
      <w:tr w:rsidR="00375A39" w14:paraId="2E497C9B" w14:textId="77777777" w:rsidTr="00606256">
        <w:trPr>
          <w:trHeight w:val="287"/>
        </w:trPr>
        <w:tc>
          <w:tcPr>
            <w:tcW w:w="3222" w:type="dxa"/>
          </w:tcPr>
          <w:p w14:paraId="22ED63BE" w14:textId="3BF22CF7" w:rsidR="00375A39" w:rsidRDefault="00375A39">
            <w:r>
              <w:t>162E2toE3 Gradient</w:t>
            </w:r>
          </w:p>
        </w:tc>
        <w:tc>
          <w:tcPr>
            <w:tcW w:w="2132" w:type="dxa"/>
          </w:tcPr>
          <w:p w14:paraId="081846CB" w14:textId="4F0D6787" w:rsidR="00375A39" w:rsidRDefault="00B75BA6">
            <w:r>
              <w:t>195.2525</w:t>
            </w:r>
          </w:p>
        </w:tc>
        <w:tc>
          <w:tcPr>
            <w:tcW w:w="2068" w:type="dxa"/>
          </w:tcPr>
          <w:p w14:paraId="26609A43" w14:textId="095E4F55" w:rsidR="00375A39" w:rsidRDefault="00B75BA6">
            <w:r>
              <w:t>75.3009</w:t>
            </w:r>
          </w:p>
        </w:tc>
        <w:tc>
          <w:tcPr>
            <w:tcW w:w="1928" w:type="dxa"/>
          </w:tcPr>
          <w:p w14:paraId="508B437C" w14:textId="77777777" w:rsidR="00B75BA6" w:rsidRDefault="00B75BA6" w:rsidP="00B75BA6">
            <w:pPr>
              <w:jc w:val="center"/>
            </w:pPr>
            <w:r>
              <w:t>66.983974</w:t>
            </w:r>
          </w:p>
          <w:p w14:paraId="630ABEE0" w14:textId="09A8D76C" w:rsidR="00375A39" w:rsidRDefault="00B75BA6" w:rsidP="00B75BA6">
            <w:pPr>
              <w:jc w:val="center"/>
            </w:pPr>
            <w:r>
              <w:t xml:space="preserve"> 16.545811</w:t>
            </w:r>
          </w:p>
        </w:tc>
      </w:tr>
      <w:tr w:rsidR="00375A39" w14:paraId="667C23AB" w14:textId="77777777" w:rsidTr="00606256">
        <w:trPr>
          <w:trHeight w:val="287"/>
        </w:trPr>
        <w:tc>
          <w:tcPr>
            <w:tcW w:w="3222" w:type="dxa"/>
          </w:tcPr>
          <w:p w14:paraId="4C1A1E9D" w14:textId="5CF84755" w:rsidR="00375A39" w:rsidRDefault="00375A39">
            <w:r>
              <w:t>162E2toE3 Normal</w:t>
            </w:r>
          </w:p>
        </w:tc>
        <w:tc>
          <w:tcPr>
            <w:tcW w:w="2132" w:type="dxa"/>
          </w:tcPr>
          <w:p w14:paraId="21154EE5" w14:textId="683087CF" w:rsidR="00375A39" w:rsidRDefault="00B75BA6">
            <w:r>
              <w:t>201.886575</w:t>
            </w:r>
          </w:p>
        </w:tc>
        <w:tc>
          <w:tcPr>
            <w:tcW w:w="2068" w:type="dxa"/>
          </w:tcPr>
          <w:p w14:paraId="49806335" w14:textId="3889DF86" w:rsidR="00375A39" w:rsidRDefault="00B75BA6">
            <w:r>
              <w:t>75.3009</w:t>
            </w:r>
          </w:p>
        </w:tc>
        <w:tc>
          <w:tcPr>
            <w:tcW w:w="1928" w:type="dxa"/>
          </w:tcPr>
          <w:p w14:paraId="6FA10E5D" w14:textId="77777777" w:rsidR="00B75BA6" w:rsidRDefault="00B75BA6" w:rsidP="00B75BA6">
            <w:pPr>
              <w:jc w:val="center"/>
            </w:pPr>
            <w:r>
              <w:t xml:space="preserve">  22.821982</w:t>
            </w:r>
          </w:p>
          <w:p w14:paraId="5D6AD50C" w14:textId="10B10444" w:rsidR="00375A39" w:rsidRDefault="00B75BA6" w:rsidP="00B75BA6">
            <w:pPr>
              <w:jc w:val="center"/>
            </w:pPr>
            <w:r>
              <w:t xml:space="preserve"> 0.731490</w:t>
            </w:r>
          </w:p>
        </w:tc>
      </w:tr>
      <w:tr w:rsidR="00375A39" w14:paraId="436BFDCD" w14:textId="77777777" w:rsidTr="00606256">
        <w:trPr>
          <w:trHeight w:val="287"/>
        </w:trPr>
        <w:tc>
          <w:tcPr>
            <w:tcW w:w="3222" w:type="dxa"/>
          </w:tcPr>
          <w:p w14:paraId="1B5726DF" w14:textId="01CA75EA" w:rsidR="00375A39" w:rsidRDefault="00375A39">
            <w:r>
              <w:t>162E3toF1 Gradient</w:t>
            </w:r>
          </w:p>
        </w:tc>
        <w:tc>
          <w:tcPr>
            <w:tcW w:w="2132" w:type="dxa"/>
          </w:tcPr>
          <w:p w14:paraId="797AEAFC" w14:textId="727ED4C5" w:rsidR="00375A39" w:rsidRDefault="00130BA7">
            <w:r>
              <w:t>673.210945</w:t>
            </w:r>
          </w:p>
        </w:tc>
        <w:tc>
          <w:tcPr>
            <w:tcW w:w="2068" w:type="dxa"/>
          </w:tcPr>
          <w:p w14:paraId="7B95CBAA" w14:textId="3D83D4BF" w:rsidR="00375A39" w:rsidRDefault="00130BA7">
            <w:r>
              <w:t>84.6729</w:t>
            </w:r>
          </w:p>
        </w:tc>
        <w:tc>
          <w:tcPr>
            <w:tcW w:w="1928" w:type="dxa"/>
          </w:tcPr>
          <w:p w14:paraId="35236D3C" w14:textId="7AC6C1EE" w:rsidR="0068177B" w:rsidRDefault="0068177B" w:rsidP="0068177B">
            <w:pPr>
              <w:jc w:val="center"/>
            </w:pPr>
            <w:r>
              <w:t>116.828272</w:t>
            </w:r>
          </w:p>
          <w:p w14:paraId="3CB33E5B" w14:textId="2B22658C" w:rsidR="00375A39" w:rsidRDefault="0068177B" w:rsidP="0068177B">
            <w:pPr>
              <w:jc w:val="center"/>
            </w:pPr>
            <w:r>
              <w:t xml:space="preserve"> 34.406458</w:t>
            </w:r>
          </w:p>
        </w:tc>
      </w:tr>
      <w:tr w:rsidR="00375A39" w14:paraId="3793FEA7" w14:textId="77777777" w:rsidTr="00606256">
        <w:trPr>
          <w:trHeight w:val="287"/>
        </w:trPr>
        <w:tc>
          <w:tcPr>
            <w:tcW w:w="3222" w:type="dxa"/>
          </w:tcPr>
          <w:p w14:paraId="3DA5C64C" w14:textId="14235336" w:rsidR="00375A39" w:rsidRDefault="00375A39">
            <w:r>
              <w:t>162E3toF1 Normal</w:t>
            </w:r>
          </w:p>
        </w:tc>
        <w:tc>
          <w:tcPr>
            <w:tcW w:w="2132" w:type="dxa"/>
          </w:tcPr>
          <w:p w14:paraId="1BB52635" w14:textId="3F68BDA5" w:rsidR="00375A39" w:rsidRDefault="00130BA7">
            <w:r>
              <w:t>69.71996</w:t>
            </w:r>
          </w:p>
        </w:tc>
        <w:tc>
          <w:tcPr>
            <w:tcW w:w="2068" w:type="dxa"/>
          </w:tcPr>
          <w:p w14:paraId="0F877581" w14:textId="19FD4F01" w:rsidR="00375A39" w:rsidRDefault="00130BA7">
            <w:r>
              <w:t>84.6729</w:t>
            </w:r>
            <w:bookmarkStart w:id="0" w:name="_GoBack"/>
            <w:bookmarkEnd w:id="0"/>
          </w:p>
        </w:tc>
        <w:tc>
          <w:tcPr>
            <w:tcW w:w="1928" w:type="dxa"/>
          </w:tcPr>
          <w:p w14:paraId="0351A2D9" w14:textId="092FFA68" w:rsidR="00130BA7" w:rsidRDefault="00130BA7" w:rsidP="00130BA7">
            <w:pPr>
              <w:jc w:val="center"/>
            </w:pPr>
            <w:r>
              <w:t>10.026848</w:t>
            </w:r>
          </w:p>
          <w:p w14:paraId="5AB39CD2" w14:textId="6DE119A6" w:rsidR="00375A39" w:rsidRDefault="00130BA7" w:rsidP="00130BA7">
            <w:pPr>
              <w:jc w:val="center"/>
            </w:pPr>
            <w:r>
              <w:t xml:space="preserve"> 1.663917</w:t>
            </w:r>
          </w:p>
        </w:tc>
      </w:tr>
    </w:tbl>
    <w:p w14:paraId="0C0FE8D1" w14:textId="77777777" w:rsidR="00F46E2C" w:rsidRDefault="00F46E2C"/>
    <w:sectPr w:rsidR="00F4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strangelo Edessa">
    <w:altName w:val="Comic Sans MS"/>
    <w:panose1 w:val="000000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A3888"/>
    <w:multiLevelType w:val="multilevel"/>
    <w:tmpl w:val="EE2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EA"/>
    <w:rsid w:val="000A13A4"/>
    <w:rsid w:val="000B1751"/>
    <w:rsid w:val="000D1DC0"/>
    <w:rsid w:val="001055B9"/>
    <w:rsid w:val="001238F6"/>
    <w:rsid w:val="00130BA7"/>
    <w:rsid w:val="00225E13"/>
    <w:rsid w:val="002A6EBF"/>
    <w:rsid w:val="00375A39"/>
    <w:rsid w:val="003B170B"/>
    <w:rsid w:val="00475FBB"/>
    <w:rsid w:val="0048329D"/>
    <w:rsid w:val="004C3BAA"/>
    <w:rsid w:val="00606256"/>
    <w:rsid w:val="0061110F"/>
    <w:rsid w:val="0068177B"/>
    <w:rsid w:val="007259FE"/>
    <w:rsid w:val="00772530"/>
    <w:rsid w:val="00947179"/>
    <w:rsid w:val="009B51EA"/>
    <w:rsid w:val="00A565F2"/>
    <w:rsid w:val="00B75BA6"/>
    <w:rsid w:val="00BE73F7"/>
    <w:rsid w:val="00CD2BB0"/>
    <w:rsid w:val="00CD4BD9"/>
    <w:rsid w:val="00DF0F96"/>
    <w:rsid w:val="00E17469"/>
    <w:rsid w:val="00F46E2C"/>
    <w:rsid w:val="00F714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AC17"/>
  <w15:chartTrackingRefBased/>
  <w15:docId w15:val="{4FA49FD0-FA6B-4589-A52A-3781E0B7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1EA"/>
    <w:rPr>
      <w:color w:val="0000FF"/>
      <w:u w:val="single"/>
    </w:rPr>
  </w:style>
  <w:style w:type="table" w:styleId="TableGrid">
    <w:name w:val="Table Grid"/>
    <w:basedOn w:val="TableNormal"/>
    <w:uiPriority w:val="39"/>
    <w:rsid w:val="009B5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51EA"/>
    <w:rPr>
      <w:color w:val="605E5C"/>
      <w:shd w:val="clear" w:color="auto" w:fill="E1DFDD"/>
    </w:rPr>
  </w:style>
  <w:style w:type="paragraph" w:styleId="NormalWeb">
    <w:name w:val="Normal (Web)"/>
    <w:basedOn w:val="Normal"/>
    <w:uiPriority w:val="99"/>
    <w:unhideWhenUsed/>
    <w:rsid w:val="00F7145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F71452"/>
    <w:pPr>
      <w:ind w:left="720"/>
      <w:contextualSpacing/>
    </w:pPr>
  </w:style>
  <w:style w:type="paragraph" w:styleId="BalloonText">
    <w:name w:val="Balloon Text"/>
    <w:basedOn w:val="Normal"/>
    <w:link w:val="BalloonTextChar"/>
    <w:uiPriority w:val="99"/>
    <w:semiHidden/>
    <w:unhideWhenUsed/>
    <w:rsid w:val="006062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252">
      <w:bodyDiv w:val="1"/>
      <w:marLeft w:val="0"/>
      <w:marRight w:val="0"/>
      <w:marTop w:val="0"/>
      <w:marBottom w:val="0"/>
      <w:divBdr>
        <w:top w:val="none" w:sz="0" w:space="0" w:color="auto"/>
        <w:left w:val="none" w:sz="0" w:space="0" w:color="auto"/>
        <w:bottom w:val="none" w:sz="0" w:space="0" w:color="auto"/>
        <w:right w:val="none" w:sz="0" w:space="0" w:color="auto"/>
      </w:divBdr>
    </w:div>
    <w:div w:id="48892797">
      <w:bodyDiv w:val="1"/>
      <w:marLeft w:val="0"/>
      <w:marRight w:val="0"/>
      <w:marTop w:val="0"/>
      <w:marBottom w:val="0"/>
      <w:divBdr>
        <w:top w:val="none" w:sz="0" w:space="0" w:color="auto"/>
        <w:left w:val="none" w:sz="0" w:space="0" w:color="auto"/>
        <w:bottom w:val="none" w:sz="0" w:space="0" w:color="auto"/>
        <w:right w:val="none" w:sz="0" w:space="0" w:color="auto"/>
      </w:divBdr>
    </w:div>
    <w:div w:id="590703200">
      <w:bodyDiv w:val="1"/>
      <w:marLeft w:val="0"/>
      <w:marRight w:val="0"/>
      <w:marTop w:val="0"/>
      <w:marBottom w:val="0"/>
      <w:divBdr>
        <w:top w:val="none" w:sz="0" w:space="0" w:color="auto"/>
        <w:left w:val="none" w:sz="0" w:space="0" w:color="auto"/>
        <w:bottom w:val="none" w:sz="0" w:space="0" w:color="auto"/>
        <w:right w:val="none" w:sz="0" w:space="0" w:color="auto"/>
      </w:divBdr>
    </w:div>
    <w:div w:id="1514876596">
      <w:bodyDiv w:val="1"/>
      <w:marLeft w:val="0"/>
      <w:marRight w:val="0"/>
      <w:marTop w:val="0"/>
      <w:marBottom w:val="0"/>
      <w:divBdr>
        <w:top w:val="none" w:sz="0" w:space="0" w:color="auto"/>
        <w:left w:val="none" w:sz="0" w:space="0" w:color="auto"/>
        <w:bottom w:val="none" w:sz="0" w:space="0" w:color="auto"/>
        <w:right w:val="none" w:sz="0" w:space="0" w:color="auto"/>
      </w:divBdr>
    </w:div>
    <w:div w:id="15965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rror_(statistics)" TargetMode="External"/><Relationship Id="rId3" Type="http://schemas.openxmlformats.org/officeDocument/2006/relationships/settings" Target="settings.xml"/><Relationship Id="rId7" Type="http://schemas.openxmlformats.org/officeDocument/2006/relationships/hyperlink" Target="https://en.wikipedia.org/wiki/Expected_val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stimator" TargetMode="External"/><Relationship Id="rId11" Type="http://schemas.openxmlformats.org/officeDocument/2006/relationships/fontTable" Target="fontTable.xml"/><Relationship Id="rId5" Type="http://schemas.openxmlformats.org/officeDocument/2006/relationships/hyperlink" Target="https://en.wikipedia.org/wiki/Statistics" TargetMode="Externa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Devvrat Patel</dc:creator>
  <cp:keywords/>
  <dc:description/>
  <cp:lastModifiedBy>Devvrat Patel</cp:lastModifiedBy>
  <cp:revision>9</cp:revision>
  <dcterms:created xsi:type="dcterms:W3CDTF">2019-04-09T17:01:00Z</dcterms:created>
  <dcterms:modified xsi:type="dcterms:W3CDTF">2019-04-10T03:35:00Z</dcterms:modified>
</cp:coreProperties>
</file>