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40"/>
      </w:pPr>
      <w:r>
        <w:rPr>
          <w:rFonts w:ascii="Helvetica Neue" w:hAnsi="Helvetica Neue" w:eastAsia="PingFang SC" w:cs="Helvetica Neue"/>
          <w:b/>
          <w:color w:val="B45F06"/>
          <w:sz w:val="18"/>
        </w:rPr>
        <w:t>TECHNICAL SURVEY  /  2026</w:t>
      </w:r>
    </w:p>
    <w:p>
      <w:pPr>
        <w:spacing w:before="280" w:after="80" w:line="288" w:lineRule="auto"/>
      </w:pPr>
      <w:r>
        <w:rPr>
          <w:rFonts w:ascii="Helvetica Neue" w:hAnsi="Helvetica Neue" w:eastAsia="PingFang SC" w:cs="Helvetica Neue"/>
          <w:b/>
          <w:color w:val="0F2E4C"/>
          <w:sz w:val="68"/>
        </w:rPr>
        <w:t>序列感知反欺诈</w:t>
      </w:r>
    </w:p>
    <w:p>
      <w:pPr>
        <w:pBdr>
          <w:bottom w:val="single" w:sz="10" w:space="4" w:color="B45F06"/>
        </w:pBdr>
        <w:spacing w:after="360" w:line="288" w:lineRule="auto"/>
      </w:pPr>
      <w:r>
        <w:rPr>
          <w:rFonts w:ascii="Helvetica Neue" w:hAnsi="Helvetica Neue" w:eastAsia="PingFang SC" w:cs="Helvetica Neue"/>
          <w:b w:val="0"/>
          <w:color w:val="1B4F72"/>
          <w:sz w:val="40"/>
        </w:rPr>
        <w:t>Sequence-Aware Fraud Detection</w:t>
      </w:r>
    </w:p>
    <w:p>
      <w:pPr>
        <w:spacing w:before="320" w:line="360" w:lineRule="auto"/>
      </w:pPr>
      <w:r>
        <w:rPr>
          <w:rFonts w:ascii="Helvetica Neue" w:hAnsi="Helvetica Neue" w:eastAsia="PingFang SC" w:cs="Helvetica Neue"/>
          <w:color w:val="5F6B76"/>
          <w:sz w:val="24"/>
        </w:rPr>
        <w:t>以 Ramp「每笔授权跑一个 Transformer」为锚点</w:t>
        <w:br/>
        <w:t>论文地图 · 业界实践 · 风险清单 · 落地手册</w:t>
      </w:r>
    </w:p>
    <w:p/>
    <w:p/>
    <w:p/>
    <w:p/>
    <w:p/>
    <w:p/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814"/>
            <w:shd w:val="clear" w:color="auto" w:fill="FFFFFF"/>
          </w:tcPr>
          <w:p>
            <w:pPr>
              <w:spacing w:before="40" w:after="40" w:line="307" w:lineRule="auto"/>
            </w:pPr>
            <w:r>
              <w:rPr>
                <w:b/>
                <w:color w:val="5F6B76"/>
              </w:rPr>
            </w:r>
            <w:r>
              <w:rPr>
                <w:rFonts w:ascii="Helvetica Neue" w:hAnsi="Helvetica Neue" w:eastAsia="PingFang SC" w:cs="Helvetica Neue"/>
                <w:b/>
                <w:color w:val="5F6B76"/>
                <w:sz w:val="18"/>
              </w:rPr>
              <w:t>版本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8"/>
              </w:rPr>
              <w:t>v1.0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="307" w:lineRule="auto"/>
            </w:pPr>
            <w:r>
              <w:rPr>
                <w:b/>
                <w:color w:val="5F6B76"/>
              </w:rPr>
            </w:r>
            <w:r>
              <w:rPr>
                <w:rFonts w:ascii="Helvetica Neue" w:hAnsi="Helvetica Neue" w:eastAsia="PingFang SC" w:cs="Helvetica Neue"/>
                <w:b/>
                <w:color w:val="5F6B76"/>
                <w:sz w:val="18"/>
              </w:rPr>
              <w:t>日期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8"/>
              </w:rPr>
              <w:t>2026-10-24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="307" w:lineRule="auto"/>
            </w:pPr>
            <w:r>
              <w:rPr>
                <w:b/>
                <w:color w:val="5F6B76"/>
              </w:rPr>
            </w:r>
            <w:r>
              <w:rPr>
                <w:rFonts w:ascii="Helvetica Neue" w:hAnsi="Helvetica Neue" w:eastAsia="PingFang SC" w:cs="Helvetica Neue"/>
                <w:b/>
                <w:color w:val="5F6B76"/>
                <w:sz w:val="18"/>
              </w:rPr>
              <w:t>范围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8"/>
              </w:rPr>
              <w:t>发卡 / 收单 / ATO / AML / 信贷 / 保险 / 链上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40" w:after="40" w:line="307" w:lineRule="auto"/>
            </w:pPr>
            <w:r>
              <w:rPr>
                <w:b/>
                <w:color w:val="5F6B76"/>
              </w:rPr>
            </w:r>
            <w:r>
              <w:rPr>
                <w:rFonts w:ascii="Helvetica Neue" w:hAnsi="Helvetica Neue" w:eastAsia="PingFang SC" w:cs="Helvetica Neue"/>
                <w:b/>
                <w:color w:val="5F6B76"/>
                <w:sz w:val="18"/>
              </w:rPr>
              <w:t>参考文献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8"/>
              </w:rPr>
              <w:t>arXiv 论文 30+ 篇、工程博客 4 篇</w:t>
            </w:r>
          </w:p>
        </w:tc>
      </w:tr>
    </w:tbl>
    <w:p>
      <w:r>
        <w:br w:type="page"/>
      </w:r>
    </w:p>
    <w:p>
      <w:pPr>
        <w:pBdr>
          <w:bottom w:val="single" w:sz="8" w:space="4" w:color="0F2E4C"/>
        </w:pBdr>
        <w:spacing w:after="240"/>
      </w:pPr>
      <w:r>
        <w:rPr>
          <w:rFonts w:ascii="Helvetica Neue" w:hAnsi="Helvetica Neue" w:eastAsia="PingFang SC" w:cs="Helvetica Neue"/>
          <w:b/>
          <w:color w:val="0F2E4C"/>
          <w:sz w:val="32"/>
        </w:rPr>
        <w:t>目　录</w:t>
      </w:r>
    </w:p>
    <w:p>
      <w:pPr>
        <w:spacing w:after="100" w:line="312" w:lineRule="auto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摘要：十条结论</w:t>
      </w:r>
    </w:p>
    <w:p>
      <w:pPr>
        <w:spacing w:after="100" w:line="312" w:lineRule="auto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1. 为什么反欺诈本质上是序列问题</w:t>
      </w:r>
    </w:p>
    <w:p>
      <w:pPr>
        <w:spacing w:after="100" w:line="312" w:lineRule="auto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2. Ramp 方案完整拆解</w:t>
      </w:r>
    </w:p>
    <w:p>
      <w:pPr>
        <w:spacing w:after="100" w:line="312" w:lineRule="auto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3. arXiv 论文地图</w:t>
      </w:r>
    </w:p>
    <w:p>
      <w:pPr>
        <w:spacing w:after="100" w:line="312" w:lineRule="auto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4. 业界实践地图</w:t>
      </w:r>
    </w:p>
    <w:p>
      <w:pPr>
        <w:spacing w:after="100" w:line="312" w:lineRule="auto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5. 设计决策手册（12 个决策点）</w:t>
      </w:r>
    </w:p>
    <w:p>
      <w:pPr>
        <w:spacing w:after="100" w:line="312" w:lineRule="auto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6. 风险与坑（12 条）</w:t>
      </w:r>
    </w:p>
    <w:p>
      <w:pPr>
        <w:spacing w:after="100" w:line="312" w:lineRule="auto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7. 金融场景实例（8 个）</w:t>
      </w:r>
    </w:p>
    <w:p>
      <w:pPr>
        <w:spacing w:after="100" w:line="312" w:lineRule="auto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8. 落地路线图</w:t>
      </w:r>
    </w:p>
    <w:p>
      <w:pPr>
        <w:spacing w:after="100" w:line="312" w:lineRule="auto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9. 参考实现骨架</w:t>
      </w:r>
    </w:p>
    <w:p>
      <w:pPr>
        <w:spacing w:after="100" w:line="312" w:lineRule="auto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10. 评估与实验设计</w:t>
      </w:r>
    </w:p>
    <w:p>
      <w:pPr>
        <w:spacing w:after="100" w:line="312" w:lineRule="auto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11. 成本与团队</w:t>
      </w:r>
    </w:p>
    <w:p>
      <w:pPr>
        <w:spacing w:after="100" w:line="312" w:lineRule="auto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12. 决策树：你该不该做</w:t>
      </w:r>
    </w:p>
    <w:p>
      <w:pPr>
        <w:spacing w:after="100" w:line="312" w:lineRule="auto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13. 参考文献</w:t>
      </w:r>
    </w:p>
    <w:p>
      <w:pPr>
        <w:spacing w:after="100" w:line="312" w:lineRule="auto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附录 A：Ramp 关键数字速查</w:t>
      </w:r>
    </w:p>
    <w:p>
      <w:pPr>
        <w:spacing w:after="100" w:line="312" w:lineRule="auto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附录 B：术语表</w:t>
      </w:r>
    </w:p>
    <w:p>
      <w:r>
        <w:br w:type="page"/>
      </w:r>
    </w:p>
    <w:p>
      <w:pPr>
        <w:keepNext/>
        <w:pBdr>
          <w:bottom w:val="single" w:sz="8" w:space="4" w:color="0F2E4C"/>
        </w:pBdr>
        <w:spacing w:before="0" w:after="200"/>
      </w:pPr>
      <w:r>
        <w:rPr>
          <w:rFonts w:ascii="Helvetica Neue" w:hAnsi="Helvetica Neue" w:eastAsia="PingFang SC" w:cs="Helvetica Neue"/>
          <w:b/>
          <w:color w:val="0F2E4C"/>
          <w:sz w:val="34"/>
        </w:rPr>
        <w:t>摘要：十条结论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1.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Ramp 的核心不是"用 Transformer 替代 GBDT"，而是"用 Transformer 造特征，GBDT 做决策"。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 xml:space="preserve"> Transformer 输出只占 SHAP 权重的约 15%，却带来 12% 的 AP 提升与全部告警预算下的帕累托改进。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2.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真正把金额指标拉起来的是金额加权损失（+29%），Transformer 是叠加项（到 +32%）。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 xml:space="preserve"> 序列模型主要改善</w:t>
      </w:r>
      <w:r>
        <w:rPr>
          <w:rFonts w:ascii="Helvetica Neue" w:hAnsi="Helvetica Neue" w:eastAsia="PingFang SC" w:cs="Helvetica Neue"/>
          <w:b/>
          <w:color w:val="1A1A1A"/>
          <w:sz w:val="21"/>
        </w:rPr>
        <w:t>排序质量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与</w:t>
      </w:r>
      <w:r>
        <w:rPr>
          <w:rFonts w:ascii="Helvetica Neue" w:hAnsi="Helvetica Neue" w:eastAsia="PingFang SC" w:cs="Helvetica Neue"/>
          <w:b/>
          <w:color w:val="1A1A1A"/>
          <w:sz w:val="21"/>
        </w:rPr>
        <w:t>首笔欺诈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（同等预算下 +9%）。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3.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自监督预训练不需要欺诈标签。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 xml:space="preserve"> 用 next-event / masked fill-in / swap detection 三个目标，两年交易数据，4 张 L40S 上不到 1.5 小时即可训完。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4.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学术路径已经成熟且连续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：TabFormer(2020) → Interleaved RNN(2020) → 微信支付 GPT 预训练(2023) → Featurespace 5.1B 交易预训练(2023) → Visa TREASURE(2025) → FraudTransformer(2025)。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5.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但公开的负结果同样密集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：NICE Actimize 的对比学习嵌入叠加到工程特征上零增益（0.9205 vs 0.9245）；IEEE-CIS 上时序异构图 Transformer 打不过直方图 GBDT（0.8536 vs 0.8722）；树模型在中型表格数据上仍是 SOTA（Grinsztajn et al., 2022）。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6.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业界收敛到"混合架构"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：Stripe 用数百个网络级聚合特征 + embedding + 反事实评估；Mastercard 用生成式模型（平均 +20%，125ms 响应）；Visa 做支付基础模型（异常行为检测 +111%）。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7.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最大的风险不是模型，是标签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：拒付延迟 30–120 天、选择性标签（只调查被拦下的交易）、拒付 ≠ 欺诈。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8.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第二大风险是数据泄漏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：2025 年一篇论文用最小神经网络在泄漏协议下做出 99.9% recall，说明大量已发表结果不可信。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9.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工程上最容易被低估的是延迟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：Ramp 首次上线因"每请求 padding 到 32"与"200 万商户名表被 GC 扫描"，p99 达 180ms 而被迫回滚；修复后 84ms，且 80,149 笔实盘授权分数逐位一致。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10.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决策规则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：若你已有强 GBDT 基线 + 良好特征平台，收益来自"把序列表征当作新特征"；若从零开始且数据量不足千万级，先做窗口聚合特征，不要上 Transformer。</w:t>
      </w:r>
    </w:p>
    <w:p>
      <w:pPr>
        <w:keepNext/>
        <w:pageBreakBefore/>
        <w:pBdr>
          <w:bottom w:val="single" w:sz="8" w:space="4" w:color="0F2E4C"/>
        </w:pBdr>
        <w:spacing w:before="120" w:after="200"/>
      </w:pPr>
      <w:r>
        <w:rPr>
          <w:rFonts w:ascii="Helvetica Neue" w:hAnsi="Helvetica Neue" w:eastAsia="PingFang SC" w:cs="Helvetica Neue"/>
          <w:b/>
          <w:color w:val="0F2E4C"/>
          <w:sz w:val="34"/>
        </w:rPr>
        <w:t>1. 为什么反欺诈本质上是序列问题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1.1 单笔交易的信息上限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一笔授权请求在到达风控系统时，携带的信息大致只有：卡号（token）、商户、MCC、金额、币种、时间、卡呈现方式（插卡/挥卡/线上/钱包）、终端与设备指纹、IP、账单地址、3DS 结果。这些字段的联合分布本身区分度有限——因为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同一笔 1,400 美元的电子消费品订单，对 IT 采购经理是日常，对只买午餐和打车的人是异常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。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Ramp 在原文里把这件事说得很直白：</w:t>
      </w:r>
    </w:p>
    <w:p>
      <w:pPr>
        <w:pBdr>
          <w:left w:val="single" w:sz="12" w:space="4" w:color="B45F06"/>
        </w:pBdr>
        <w:spacing w:before="80" w:after="160" w:line="348" w:lineRule="auto"/>
        <w:ind w:left="397"/>
      </w:pPr>
      <w:r>
        <w:rPr>
          <w:rFonts w:ascii="Helvetica Neue" w:hAnsi="Helvetica Neue" w:eastAsia="PingFang SC" w:cs="Helvetica Neue"/>
          <w:b w:val="0"/>
          <w:i/>
          <w:color w:val="3A3A3A"/>
          <w:sz w:val="20"/>
        </w:rPr>
        <w:t>"一笔 1,400 美元的电子产品消费，对正在买笔记本电脑的 IT 经理是常规，但对近期只买午餐、打车、软件订阅的人来说很奇怪。"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结论：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判定的信息量主要不在"这笔"，而在"这笔相对于前 N 笔的位置"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。这是序列建模的全部动机。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1.2 三类序列信号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信号类型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具体表现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传统窗口特征能做什么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序列模型能多学到什么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常规断裂（routine break）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首次出现在新国家、陌生商户类型、金额量级跳变、卡呈现方式突变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计数类特征能统计"过去 24h 是否出现过该国"，但无法表达"以你的历史看，这有多反常"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条件化于个体历史的条件概率 / surprisal，把"陌生"变成有刻度的量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速率与连击（velocity / burst）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短时间多笔小额试卡后跟一笔大额、跨商户快速切换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固定窗口（1h/24h/7d）的 count/sum/distinct，窗口边界会漏、会重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学习不规则间隔的时间结构，区分"密集连刷"与"分散在两周"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跨实体关联（network）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同一设备多卡、同一商户集中攻击、团伙共享收货地址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图特征（度、连通分量、共享属性计数）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序列 + 图联合建模，让"事件的表示"与"实体的表示"互相校准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三类信号对应三种技术：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序列模型、时间点过程、图学习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。Ramp 做的是第一类（并在特征平台里保留了第二、三类的传统特征）。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1.3 三代范式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90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范式</w:t>
            </w:r>
          </w:p>
        </w:tc>
        <w:tc>
          <w:tcPr>
            <w:tcW w:type="dxa" w:w="190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时间</w:t>
            </w:r>
          </w:p>
        </w:tc>
        <w:tc>
          <w:tcPr>
            <w:tcW w:type="dxa" w:w="190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代表</w:t>
            </w:r>
          </w:p>
        </w:tc>
        <w:tc>
          <w:tcPr>
            <w:tcW w:type="dxa" w:w="190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特征来源</w:t>
            </w:r>
          </w:p>
        </w:tc>
        <w:tc>
          <w:tcPr>
            <w:tcW w:type="dxa" w:w="190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主要瓶颈</w:t>
            </w:r>
          </w:p>
        </w:tc>
      </w:tr>
      <w:tr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特征工程 + GBDT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2010–2018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银行内部评分卡 + XGBoost/LightGBM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人工定义窗口聚合（1h/24h/7d/30d 的 count/sum/mean/std/entropy）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特征空间靠人力堆，无法表达"条件化于个体历史的反常度"</w:t>
            </w:r>
          </w:p>
        </w:tc>
      </w:tr>
      <w:tr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RNN/LSTM 序列模型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2017–2021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Feedzai Interleaved RNN（KDD'20）、JD Finance Session-RNN、支付宝 Structure-aware HRNN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原始事件序列，模型自己学表示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长依赖衰减、训练慢、线上推理框架不成熟</w:t>
            </w:r>
          </w:p>
        </w:tc>
      </w:tr>
      <w:tr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Transformer + 自监督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2020–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TabFormer、微信支付 GPT、Featurespace、Visa TREASURE、Ramp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自监督预训练得到通用表征，再接下游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标签延迟、数据泄漏、延迟预算、可解释性合规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1.4 Ramp 案例的定位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Ramp 是一家企业费用管理 / 公司卡公司。它的场景有两个特殊性，值得先记住，因为后面所有"能不能照搬"的判断都依赖它：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1.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主体是"一个人在一个企业内的所有卡"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，不是单卡。同一员工可能同时持有实体卡、虚拟卡、部门卡，历史要跨卡聚合。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2.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B2B 支出分布与 C2C 差异大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：广告投放、SaaS 订阅、差旅、供应商付款的金额量级和节奏完全不同，且合法大额更常见——这直接导致"金额加权损失"成为最大收益项。</w:t>
      </w:r>
    </w:p>
    <w:p>
      <w:pPr>
        <w:keepNext/>
        <w:pageBreakBefore/>
        <w:pBdr>
          <w:bottom w:val="single" w:sz="8" w:space="4" w:color="0F2E4C"/>
        </w:pBdr>
        <w:spacing w:before="120" w:after="200"/>
      </w:pPr>
      <w:r>
        <w:rPr>
          <w:rFonts w:ascii="Helvetica Neue" w:hAnsi="Helvetica Neue" w:eastAsia="PingFang SC" w:cs="Helvetica Neue"/>
          <w:b/>
          <w:color w:val="0F2E4C"/>
          <w:sz w:val="34"/>
        </w:rPr>
        <w:t>2. Ramp 方案完整拆解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原文：</w:t>
      </w:r>
      <w:r>
        <w:rPr>
          <w:rFonts w:ascii="Helvetica Neue" w:hAnsi="Helvetica Neue" w:eastAsia="PingFang SC" w:cs="Helvetica Neue"/>
          <w:b w:val="0"/>
          <w:i/>
          <w:color w:val="1A1A1A"/>
          <w:sz w:val="21"/>
        </w:rPr>
        <w:t>Putting a Transformer Inside Every Card Authorization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，Ramp Builders Blog，2026-10-08，作者 Dwight Temple、Simon Miller。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2.1 整体架构：两阶段，而非端到端替换</w:t>
      </w:r>
    </w:p>
    <w:p>
      <w:pPr>
        <w:pBdr>
          <w:left w:val="single" w:sz="12" w:space="4" w:color="C9D2DA"/>
        </w:pBdr>
        <w:shd w:val="clear" w:color="auto" w:fill="F4F6F8"/>
        <w:spacing w:before="120" w:after="180" w:line="240" w:lineRule="auto"/>
        <w:ind w:left="170" w:right="170"/>
      </w:pPr>
      <w:r>
        <w:rPr>
          <w:rFonts w:ascii="Menlo" w:hAnsi="Menlo" w:eastAsia="PingFang SC" w:cs="Menlo"/>
          <w:color w:val="24292E"/>
          <w:sz w:val="14"/>
        </w:rPr>
        <w:t>授权请求到达</w:t>
        <w:br/>
      </w:r>
      <w:r>
        <w:rPr>
          <w:rFonts w:ascii="Menlo" w:hAnsi="Menlo" w:eastAsia="PingFang SC" w:cs="Menlo"/>
          <w:color w:val="24292E"/>
          <w:sz w:val="14"/>
        </w:rPr>
        <w:t xml:space="preserve">   │</w:t>
        <w:br/>
      </w:r>
      <w:r>
        <w:rPr>
          <w:rFonts w:ascii="Menlo" w:hAnsi="Menlo" w:eastAsia="PingFang SC" w:cs="Menlo"/>
          <w:color w:val="24292E"/>
          <w:sz w:val="14"/>
        </w:rPr>
        <w:t xml:space="preserve">   ├─(A) 频率统计特征（直接计数：近 N 笔/近 T 时间的频次、去重数、金额分布）</w:t>
        <w:br/>
      </w:r>
      <w:r>
        <w:rPr>
          <w:rFonts w:ascii="Menlo" w:hAnsi="Menlo" w:eastAsia="PingFang SC" w:cs="Menlo"/>
          <w:color w:val="24292E"/>
          <w:sz w:val="14"/>
        </w:rPr>
        <w:t xml:space="preserve">   │</w:t>
        <w:br/>
      </w:r>
      <w:r>
        <w:rPr>
          <w:rFonts w:ascii="Menlo" w:hAnsi="Menlo" w:eastAsia="PingFang SC" w:cs="Menlo"/>
          <w:color w:val="24292E"/>
          <w:sz w:val="14"/>
        </w:rPr>
        <w:t xml:space="preserve">   ├─(B) 小型 Transformer（3 层注意力）读最近交易序列</w:t>
        <w:br/>
      </w:r>
      <w:r>
        <w:rPr>
          <w:rFonts w:ascii="Menlo" w:hAnsi="Menlo" w:eastAsia="PingFang SC" w:cs="Menlo"/>
          <w:color w:val="24292E"/>
          <w:sz w:val="14"/>
        </w:rPr>
        <w:t xml:space="preserve">   │        └→ 输出 1 个 embedding + 每字段 surprisal + 4 个 swap score</w:t>
        <w:br/>
      </w:r>
      <w:r>
        <w:rPr>
          <w:rFonts w:ascii="Menlo" w:hAnsi="Menlo" w:eastAsia="PingFang SC" w:cs="Menlo"/>
          <w:color w:val="24292E"/>
          <w:sz w:val="14"/>
        </w:rPr>
        <w:t xml:space="preserve">   │</w:t>
        <w:br/>
      </w:r>
      <w:r>
        <w:rPr>
          <w:rFonts w:ascii="Menlo" w:hAnsi="Menlo" w:eastAsia="PingFang SC" w:cs="Menlo"/>
          <w:color w:val="24292E"/>
          <w:sz w:val="14"/>
        </w:rPr>
        <w:t xml:space="preserve">   └─(C) 历史特征（已有，回看数月）+ A + B  →  XGBoost  →  风险分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关键判断：</w:t>
      </w:r>
      <w:r>
        <w:rPr>
          <w:rFonts w:ascii="Helvetica Neue" w:hAnsi="Helvetica Neue" w:eastAsia="PingFang SC" w:cs="Helvetica Neue"/>
          <w:b/>
          <w:color w:val="1A1A1A"/>
          <w:sz w:val="21"/>
        </w:rPr>
        <w:t>XGBoost 及其全部已有特征保留为最终决策层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，Transformer 只是新增的两类"视图"之一。这个设计选择让项目风险大幅下降——新模型失败时，退化路径是清晰的。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2.2 Tokenization：把交易变成"词"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每一步（一笔历史交易）被编码为：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字段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处理方式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商户（merchant）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分层词表，见下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商户类别（category）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学习向量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国家（country）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学习向量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金额（amount）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连续值编码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时间（time）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经"小型可学习时间位置编码"，区分密集连刷与长间隔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卡呈现方式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学习向量（插卡 / 挥卡 / 线上 / 数字钱包 …）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是否通过（approved）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学习向量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商户词表的三层设计（本文最有工程价值的部分）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层级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覆盖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表示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高频商户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头部（数万量级）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独立向量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中频商户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约 200 万家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按类别哈希到共享槽位（hash bucket within category）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长尾/未见过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其余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每个类别一个兜底 token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效果：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 xml:space="preserve">全量百万级商户被压进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约 47,000 个 token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；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商户词表可以变化而不需要重训模型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（新商户自动落到类别兜底或哈希槽）；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超过 80% 的线上权重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集中在"商户 embedding + 预测下一商户的那一层"——也就是说，这个模型绝大多数的参数其实在学"谁在哪儿花钱"。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这是对高基数类别特征的标准解法，但 Ramp 把"兜底层级"做进了结构里，而不是靠 OOV 时的随机初始化。</w:t>
      </w:r>
      <w:r>
        <w:rPr>
          <w:rFonts w:ascii="Helvetica Neue" w:hAnsi="Helvetica Neue" w:eastAsia="PingFang SC" w:cs="Helvetica Neue"/>
          <w:b/>
          <w:color w:val="1A1A1A"/>
          <w:sz w:val="21"/>
        </w:rPr>
        <w:t>这一点直接决定了模型能不能周更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2.3 时间编码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不用绝对时间戳，而用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可学习的时间位置编码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表达"距上一笔多久"。原因很实际：绝对时间会把"2026 年 3 月"这种与欺诈无关的信息编码进去，而 Δt 才是"连刷 vs 分散"的判据。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学术上这条路有更完整的版本：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Time2Vec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（时间向量化）——被 THGT-FD 等用于交易表示；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Transformer Hawkes Process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（arXiv:2002.09291）——用自注意力参数化点过程强度，天然处理不规则间隔；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FraudTransformer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（arXiv:2509.23712）——同时用"时间编码器"（绝对或间隔）+ "学习式位置编码"（保序），并做了消融证明两者都必要。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2.4 三个训练目标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目标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做法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类比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成本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下一笔预测（主任务）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三层注意力读全部历史，压成一个 embedding；训练时强制"每次预测只能来自该 embedding"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自回归语言模型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主体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掩码填空（辅助）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遮住若干历史交易，用完整上下文补全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BERT MLM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低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Swap 检测（辅助）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一半样本中，把某笔的某个片段（商户/金额/国家/卡呈现方式）替换成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别人的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交易片段，模型判断"哪个不属于"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BERT NSP 的变体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&lt;1% 训练时间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Swap 任务的设计很巧：模型要回答"这笔是不是这段历史的"，唯一可行的方式是</w:t>
      </w:r>
      <w:r>
        <w:rPr>
          <w:rFonts w:ascii="Helvetica Neue" w:hAnsi="Helvetica Neue" w:eastAsia="PingFang SC" w:cs="Helvetica Neue"/>
          <w:b/>
          <w:color w:val="1A1A1A"/>
          <w:sz w:val="21"/>
        </w:rPr>
        <w:t>把该笔与前序历史做比对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——这恰好就是欺诈判定的核心运算。原文说它"带来了对用户消费方式更深的理解"。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这三个目标全部不需要欺诈标签。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 xml:space="preserve"> 训练语料是两年交易流水，一遍过。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2.5 输出给下游的四类信号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输出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维度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特点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embedding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向量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信息密度高，但不可单独解释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每字段 surprisal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5 个左右（商户/类别/国家/金额/呈现方式）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可单独解读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——"这笔金额比预期罕见多少"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swap score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4 个（商户/金额/国家/卡呈现方式）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可单独解读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（隐含）下一笔分布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47k 维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仅训练用，线上只取打分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原文给了两个"概率差"的直观量级：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 xml:space="preserve">两个电子产品买家，模型对其下一笔的预测概率相差约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33 倍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；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 xml:space="preserve">常旅客 vs 只在一个国家消费的人，对"新国家"的 surprisal 相差约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24 倍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。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以及一组手工构造的示意：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场景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结果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常规历史 + 午餐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四个 swap score 均 &lt;5%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同一家午餐店，1,400 美元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amount swap 86%，其余约 1%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手输卡号而非插卡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呈现方式 swap 1% → 20%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1,400 美元线上电子消费（常规用户）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商户 43% / 金额 50%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同上（常规电子产品买家）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商户 1% / 金额 6%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境外酒店（单国用户）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国家 58%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境外酒店（常旅客）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国家 1%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注意原文声明：这些图是</w:t>
      </w:r>
      <w:r>
        <w:rPr>
          <w:rFonts w:ascii="Helvetica Neue" w:hAnsi="Helvetica Neue" w:eastAsia="PingFang SC" w:cs="Helvetica Neue"/>
          <w:b/>
          <w:color w:val="1A1A1A"/>
          <w:sz w:val="21"/>
        </w:rPr>
        <w:t>手工构造的示意，不代表实测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。引用时要标明。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2.6 训练成本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环节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规模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成本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Transformer 预训练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2 年交易，无欺诈标签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&lt;1.5 小时 / 4×L40S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XGBoost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全量交易（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不对负样本采样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）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Ray 集群：1 小时算特征 + 3 小时训练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模型规模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小型（3 层注意力）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线上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纯 CPU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 打包推理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"不采样负样本"这一点值得注意：欺诈标签稀疏且延迟数周，很多团队会下采样负样本以加速，但那会破坏概率校准，进而让"金额加权"失效。Ramp 选择全量训练。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2.7 评估方法论（比模型更值得抄）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方法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具体做法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为什么重要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固定告警预算对比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让新旧模型各自标记相同数量的最高分交易，比较其中捕获的欺诈笔数与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欺诈金额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线上运营容量固定，任何"提高 recall"的宣称在固定预算下才可比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AP（平均精度）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排序质量指标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不依赖阈值，适合高度不平衡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消融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同 XGBoost、同损失，仅去掉新特征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分离"损失函数贡献"与"序列特征贡献"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SHAP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看模型依赖什么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定位特征作用，但不能当"独立贡献"读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2.8 结果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总量（同等告警预算）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指标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相对上一版模型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相对"仅金额加权 XGBoost"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捕获欺诈金额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+32%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+3%（推算）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AP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+14%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+12%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捕获欺诈笔数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+6%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+3%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归因分解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组成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贡献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仅金额加权损失（同特征）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欺诈金额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+29%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再加 Transformer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欺诈金额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+32%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即：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大头来自损失函数，序列模型是增量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。这个诚实分解在业界文章里少见，也是本文最该被记住的一句。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分层效果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交易金额段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相对上一版模型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备注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 $100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基本持平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仅金额加权时反而 -6%，Transformer 补回（半预算下 +10%）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$100–$1,000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+16%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≥ $1,000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+34%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该段占全部欺诈金额的约 3/4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其他关键切片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切片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结果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欺诈连击中的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首笔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（无前置欺诈信号）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欺诈金额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+40%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；半预算下比仅金额加权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+9%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线上已放行、事后确认欺诈的交易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额外捕获金额中约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80%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 属于此类；比仅金额加权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+24%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全告警预算区间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旧模型在约 1/3 的预算点上更强；加 Transformer 后在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每个预算点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都更强（帕累托改进）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SHAP 归因（对欺诈交易）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输入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占总分比例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排名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Transformer 全部输出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~15%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└ embedding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8%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└ surprisal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5%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商户 surprisal 第 31、类别第 33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└ swap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2%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商户 swap 第 20、金额 swap 第 27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原文同时警告：</w:t>
      </w:r>
      <w:r>
        <w:rPr>
          <w:rFonts w:ascii="Helvetica Neue" w:hAnsi="Helvetica Neue" w:eastAsia="PingFang SC" w:cs="Helvetica Neue"/>
          <w:b/>
          <w:color w:val="1A1A1A"/>
          <w:sz w:val="21"/>
        </w:rPr>
        <w:t>SHAP 低不等于特征无用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，要按输入归一化后再看；且 SHAP 反映的是"模型在这一次决策中依赖了什么"，不是"这个输入独立贡献了多少"。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2.9 延迟事故：一次教科书级的回滚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现象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 xml:space="preserve">：首次上线，模型调用耗时约为前代的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2 倍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 xml:space="preserve">，大量授权触达超时线 →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立即回滚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。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归因（profile 结果）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假设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实际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注意力层太慢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错。注意力只占约 1/3 模型时间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每个请求被 padding 到 batch=32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，对 padding 位置也要算满 47,000 个商户的 softmax，占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&gt;1/2 时间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一张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约 200 万条商户名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的查找表恰好位于 Python GC 会遍历的位置，每轮都被扫描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修复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1.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彻底去掉 padding；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2.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把大表移出 GC 可达范围；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3.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小请求直接用 numpy 组装。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结果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指标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上线初版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修复后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一周后（数百万请求）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中位延迟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145 ms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65 ms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54 ms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p99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180 ms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105 ms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84 ms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最关键的验证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：修复版与原版在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实盘 80,149 笔授权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上并行运行，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分数逐位一致，无一笔决策改变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，回滚后不到 1 天即重新上线，整体授权总时长未变。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这套"改性能不改分数"的验证纪律，比模型本身更值得抄。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2.10 五条可迁移经验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1.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小模型 + 高频重训 &gt; 大模型 + 低频重训。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 xml:space="preserve"> 原文原话："我们宁可频繁重训这个尺寸的模型，也不愿偶尔重训一个大模型。"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2.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词汇表设计决定可维护性。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 xml:space="preserve"> 分层 + 哈希 + 类别兜底，让"商户集合变化"不再是重训理由。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3.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把序列模型的产出做成"可分项解读的标量"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（surprisal、swap score），而不是只丢一个 embedding。这让 GBDT 好用，也让风控分析师能讲理由。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4.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特征平台是隐形前提。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 xml:space="preserve"> 一份特征定义、两种编译（Snowflake 回填 + 流式视图），保证训练/服务一致；且严格定义"只有发生在被评分授权之前、且已到达系统"的交易才算历史。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5.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上线前先做"分数一致性"回归。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 xml:space="preserve"> 性能优化必须证明零行为变化。</w:t>
      </w:r>
    </w:p>
    <w:p>
      <w:pPr>
        <w:keepNext/>
        <w:pageBreakBefore/>
        <w:pBdr>
          <w:bottom w:val="single" w:sz="8" w:space="4" w:color="0F2E4C"/>
        </w:pBdr>
        <w:spacing w:before="120" w:after="200"/>
      </w:pPr>
      <w:r>
        <w:rPr>
          <w:rFonts w:ascii="Helvetica Neue" w:hAnsi="Helvetica Neue" w:eastAsia="PingFang SC" w:cs="Helvetica Neue"/>
          <w:b/>
          <w:color w:val="0F2E4C"/>
          <w:sz w:val="34"/>
        </w:rPr>
        <w:t>3. arXiv 论文地图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3.0 谱系</w:t>
      </w:r>
    </w:p>
    <w:p>
      <w:pPr>
        <w:pBdr>
          <w:left w:val="single" w:sz="12" w:space="4" w:color="C9D2DA"/>
        </w:pBdr>
        <w:shd w:val="clear" w:color="auto" w:fill="F4F6F8"/>
        <w:spacing w:before="120" w:after="180" w:line="240" w:lineRule="auto"/>
        <w:ind w:left="170" w:right="170"/>
      </w:pPr>
      <w:r>
        <w:rPr>
          <w:rFonts w:ascii="Menlo" w:hAnsi="Menlo" w:eastAsia="PingFang SC" w:cs="Menlo"/>
          <w:color w:val="24292E"/>
          <w:sz w:val="14"/>
        </w:rPr>
        <w:t xml:space="preserve">                    ┌── 推荐系统序列建模（架构源头）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│     SASRec 1808.09781 / BERT4Rec 1904.06690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│     DIN 1706.06978 / BST 1905.06874 / SIM 2006.05639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│</w:t>
        <w:br/>
      </w:r>
      <w:r>
        <w:rPr>
          <w:rFonts w:ascii="Menlo" w:hAnsi="Menlo" w:eastAsia="PingFang SC" w:cs="Menlo"/>
          <w:color w:val="24292E"/>
          <w:sz w:val="14"/>
        </w:rPr>
        <w:t>2017  GRU 序列 ──────┤</w:t>
        <w:br/>
      </w:r>
      <w:r>
        <w:rPr>
          <w:rFonts w:ascii="Menlo" w:hAnsi="Menlo" w:eastAsia="PingFang SC" w:cs="Menlo"/>
          <w:color w:val="24292E"/>
          <w:sz w:val="14"/>
        </w:rPr>
        <w:t xml:space="preserve">      (1711.01434)   │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├── 表格 Transformer</w:t>
        <w:br/>
      </w:r>
      <w:r>
        <w:rPr>
          <w:rFonts w:ascii="Menlo" w:hAnsi="Menlo" w:eastAsia="PingFang SC" w:cs="Menlo"/>
          <w:color w:val="24292E"/>
          <w:sz w:val="14"/>
        </w:rPr>
        <w:t>2019  HMM 多视角 ────┤     TabFormer 2011.01843（合成信用卡交易）</w:t>
        <w:br/>
      </w:r>
      <w:r>
        <w:rPr>
          <w:rFonts w:ascii="Menlo" w:hAnsi="Menlo" w:eastAsia="PingFang SC" w:cs="Menlo"/>
          <w:color w:val="24292E"/>
          <w:sz w:val="14"/>
        </w:rPr>
        <w:t xml:space="preserve">      (1905.06247)   │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├── 序列 RNN 工业化</w:t>
        <w:br/>
      </w:r>
      <w:r>
        <w:rPr>
          <w:rFonts w:ascii="Menlo" w:hAnsi="Menlo" w:eastAsia="PingFang SC" w:cs="Menlo"/>
          <w:color w:val="24292E"/>
          <w:sz w:val="14"/>
        </w:rPr>
        <w:t>2020  ──────────────┤     Interleaved RNN 2002.05988（Feedzai, KDD'20）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│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├── 大规模自监督预训练</w:t>
        <w:br/>
      </w:r>
      <w:r>
        <w:rPr>
          <w:rFonts w:ascii="Menlo" w:hAnsi="Menlo" w:eastAsia="PingFang SC" w:cs="Menlo"/>
          <w:color w:val="24292E"/>
          <w:sz w:val="14"/>
        </w:rPr>
        <w:t>2023  ──────────────┤     微信支付 GPT 2312.14406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│     Featurespace 2401.01641（5.1B 笔 / 180 家发卡行）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│     Visa TREASURE 2511.19693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│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├── 时间感知 Transformer</w:t>
        <w:br/>
      </w:r>
      <w:r>
        <w:rPr>
          <w:rFonts w:ascii="Menlo" w:hAnsi="Menlo" w:eastAsia="PingFang SC" w:cs="Menlo"/>
          <w:color w:val="24292E"/>
          <w:sz w:val="14"/>
        </w:rPr>
        <w:t>2025  ──────────────┤     FraudTransformer 2509.23712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│     SOHET 2606.21356（Booking.com）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│     TCT 2605.21490（NICE Actimize，负结果）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│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└── 序列 + 图 / 点过程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      Transformer Hawkes 2002.09291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      BRIDGE 2510.25126（Capital One）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      STA-GT 2307.05121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3.1 序列 RNN 时代（2017–2021）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论文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机构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方法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关键结论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Interleaved Sequence RNNs for Fraud Detection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&lt;br&gt;arXiv:2002.05988（KDD'20 Industry Track）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Feedzai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把每张卡的支付历史视为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无界、不规则的子序列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，多序列交错训练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特征无关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（feature-free）的 RNN 优于当时的特征工程 + 树模型，且算力更省；给出从预处理到部署的完整毫秒级框架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Transaction Fraud Detection Using GRU-centered Sandwich-structured Model&lt;br&gt;arXiv:1711.01434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京东金融等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"within→between→within" 三明治结构，GRU + attention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早期证明序列学习器可嵌入集成框架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Multiple perspectives HMM-based feature engineering&lt;br&gt;arXiv:1905.06247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里昂一大 / Worldline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8 个视角的 HMM 似然作为特征喂随机森林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PR-AUC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+15%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；说明"序列的统计摘要"本身就有价值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Credit card fraud detection using ML: A survey&lt;br&gt;arXiv:2010.06479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Worldline / 里昂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综述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系统梳理类别不平衡、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概念漂移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、序列建模（聚合特征 / LSTM / HMM）三条线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3.2 表格与交易 Transformer 的起点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论文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机构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方法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关键结论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Tabular Transformers for Modeling Multivariate Time Series (TabFormer)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&lt;br&gt;arXiv:2011.01843（ICASSP'21）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IBM Research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两个模型：BERT 式表示学习器 + GPT 式生成器；在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合成信用卡交易数据集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上做欺诈检测与合成数据生成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首次系统论证"把表格行当 token"可行；开源的合成交易数据成为后续很多论文的基准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3.3 大规模自监督预训练（工业级）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论文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机构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规模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结论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Generative Pretraining at Scale: Transformer-Based Encoding of Transactional Behavior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&lt;br&gt;arXiv:2312.14406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腾讯 / 微信支付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大规模支付行为序列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自回归 GPT + 无监督预训练，解决"token 爆炸"与行为序列重构；引入差分卷积增强异常感知；服务中国最大线上支付商户之一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Towards a Foundation Purchasing Model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&lt;br&gt;arXiv:2401.01641（ICAIF'23）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Featurespace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5.1 亿→51 亿笔交易，180 家发卡行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生成式自回归预训练产出上下文相关交易嵌入；在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高精度区间显著提升金额捕获率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，且可跨域迁移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TREASURE: The Visa Payment Foundation Model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&lt;br&gt;arXiv:2511.19693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Visa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工业级支付数据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静态/动态属性分离的子模块 + 高基数类别预测的高效训练；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异常行为检测较生产系统 +111%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，推荐嵌入 +104%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这三篇合起来说明一件事：</w:t>
      </w:r>
      <w:r>
        <w:rPr>
          <w:rFonts w:ascii="Helvetica Neue" w:hAnsi="Helvetica Neue" w:eastAsia="PingFang SC" w:cs="Helvetica Neue"/>
          <w:b/>
          <w:color w:val="1A1A1A"/>
          <w:sz w:val="21"/>
        </w:rPr>
        <w:t>"支付基础模型"已经是发卡组织与卡组织级别的正式路线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，不再是实验室概念。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3.4 时间感知 Transformer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论文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机构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方法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结论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FraudTransformer: Time-Aware GPT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&lt;br&gt;arXiv:2509.23712（ICAIF'25 workshop）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伦敦数学科学研究所 / 工业合作方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GPT 式架构 +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专用时间编码器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（绝对时间或 Δt）+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学习式位置编码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（保序）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数千万笔工业交易上，AUROC 与 PRAUC 均优于 LR / XGBoost / LightGBM 及去掉时间/位置的消融版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SOHET: Sequence Of Heterogeneous Events Transformer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&lt;br&gt;arXiv:2606.21356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Booking.com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分层结构：事件类型专属表格编码器 + 时间/类型嵌入 + 因果或双向 Transformer；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三个自监督预训练目标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17 类事件的欺诈任务上优于 FlexTPP/NAPPT/CIPPT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5.8%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；预训练再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+2.6%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、收敛快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2.4%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Multi-Stream Temporal Fusion&lt;br&gt;arXiv:2606.25007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融合交易、登录、风险信号三流，时间感知位置编码 + 门控融合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报告 AUROC 0.9961（该数值异常偏高，引用需谨慎，疑似数据集过于理想）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TCT: Temporal Contrastive Transformer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&lt;br&gt;arXiv:2605.21490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NICE Actimize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自监督对比学习产出交易序列嵌入，再喂 GBDT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单独用 AUC 0.8644；与工程特征合用 0.9205，反而略低于基线 0.9245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——作者明言"未达生产可用"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3.5 事件序列与点过程理论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论文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方法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与反欺诈的关系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Transformer Hawkes Process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&lt;br&gt;arXiv:2002.09291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自注意力参数化 Hawkes 强度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给"不规则间隔事件序列"提供概率框架；能算"下一事件在 t 时刻发生的强度"——这正是 surprisal 的理论版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COTIC: Continuous-time convolutions&lt;br&gt;arXiv:2302.06247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连续时间卷积层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处理非均匀时间戳，平均排名 1.5 vs Transformer 3.714（下一事件时间+类型预测）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SeqNAS&lt;br&gt;arXiv:2401.03246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事件序列分类的神经架构搜索（attention/conv/RNN 混合空间）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说明"纯 Transformer 未必最优"，架构应搜索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S2P2: Deep Continuous-Time State-Space Models&lt;br&gt;arXiv:2412.19634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随机跳跃微分方程 + 并行扫描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线性复杂度处理标记点过程，似然提升 33%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3.6 序列 + 图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论文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机构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方法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结论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BRIDGE: End-to-End Sequence-Graph Learning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&lt;br&gt;arXiv:2510.25126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Capital One 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序列模型与图模块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联合训练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，TOKENXATTN 做 token 级跨注意力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关系预测与欺诈检测上同时优于静态图、时序图、纯序列基线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STA-GT&lt;br&gt;arXiv:2307.05121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同济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异构图 + 时间编码 + Transformer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空间-时间联合建模，优于图基线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THGT-FD&lt;br&gt;arXiv:2609.07100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独立作者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每笔交易 = 1 个交易 token + 6 类关系 token + Time2Vec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AUC 0.8536 &lt; 直方图 GBDT 0.8722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（IEEE-CIS 15 万笔）——公开的负结果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VecAug&lt;br&gt;arXiv:2408.00513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NUS 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用向量检索构造"同类人群"做增强聚合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基础模型 AUC 最多 +2.48%，R@P0.9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+22.5%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——"同侪对照"思路很实用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3.7 架构源头：推荐系统的序列建模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反欺诈的序列架构几乎全部借自推荐系统。想读懂上面那些论文，先读这五篇：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论文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arXiv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核心贡献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对反欺诈的移植点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SASRec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1808.09781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因果自注意力做下一物品预测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"下一笔预测"的直接原型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BERT4Rec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1904.06690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双向 + 掩码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掩码填空目标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DIN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1706.06978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注意力按候选物品激活历史行为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"这笔交易 × 历史"的注意力打分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BST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1905.06874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Transformer 编码用户行为序列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序列编码器结构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SIM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2006.05639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检索式长序列建模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长历史（千笔以上）的可行做法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3.8 可解释性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论文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方法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用途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TimeSHAP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&lt;br&gt;arXiv:2012.00073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KernelSHAP 扩展到"特征 × 时间步 × 单元"三级归因，带剪枝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银行账户盗用场景；论文还暴露了基于年龄的歧视性依赖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FinDeepBehaviorCluster&lt;br&gt;arXiv:2101.04285（AAAI'21 KDF）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时间注意力 Bi-LSTM 序列嵌入 + 专家特征 +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pHDBSCAN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（GPU/FAISS 加速，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500×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）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数百亿级交易数分钟内聚类，挖掘"闪电欺诈"模式并生成规则叙事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3.9 反面证据（必读）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论文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结论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对你的意义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Data Leakage and Deceptive Performance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&lt;br&gt;arXiv:2506.02703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故意用错误协议，最小神经网络做到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99.9% recall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；指出四类问题：预处理导致的泄漏、方法描述含糊、缺时间验证、以牺牲精度换召回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任何"超越 SOTA"的宣称，先查它的切分与预处理顺序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Why do tree-based models still outperform DL on tabular data?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&lt;br&gt;arXiv:2207.08815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45 个数据集、2 万 GPU 小时调参，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中型数据（~1 万样本）上树模型仍是最优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序列模型的收益来自"序列结构"，不是"深度"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TCT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（arXiv:2605.21490）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学习嵌入在工程特征之上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零增益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若你的特征工程已很强，先做消融再投入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THGT-FD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（arXiv:2609.07100）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图 Transformer 输给 GBDT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复杂结构不自动等于更好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Multi-task CNN Behavioral Embedding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&lt;br&gt;arXiv:2411.19457（ICDMW'24）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单层多核 CNN + 位置编码 + 多任务，在效率与业务归纳偏置上优于 LSTM/Transformer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先试 CNN，再上 Transformer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3.10 从论文里能读出的六条规律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1.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有工业数据的论文，几乎都做"预训练 + 下游 GBDT"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，纯端到端替换的很少。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2.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时间编码是刚需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，不是可选装饰；去掉它性能明显下降（FraudTransformer 有消融）。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3.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数据规模决定路线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：&lt;千万笔做窗口特征；千万–十亿做单机构预训练；&gt;十亿才谈"基础模型"。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4.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负结果集中在两个地方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：小数据 + 复杂模型（过拟合）、强特征 + 弱增量（边际收益低）。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5.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多任务/多目标比单目标稳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：掩码、swap、对比、下一笔，本质都是在造"更难但免费的监督信号"。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6.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可解释性研究（TimeSHAP、聚类规则提取）几乎都来自风控厂商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，不是学术兴趣——因为这是合规刚需。</w:t>
      </w:r>
    </w:p>
    <w:p>
      <w:pPr>
        <w:keepNext/>
        <w:pageBreakBefore/>
        <w:pBdr>
          <w:bottom w:val="single" w:sz="8" w:space="4" w:color="0F2E4C"/>
        </w:pBdr>
        <w:spacing w:before="120" w:after="200"/>
      </w:pPr>
      <w:r>
        <w:rPr>
          <w:rFonts w:ascii="Helvetica Neue" w:hAnsi="Helvetica Neue" w:eastAsia="PingFang SC" w:cs="Helvetica Neue"/>
          <w:b/>
          <w:color w:val="0F2E4C"/>
          <w:sz w:val="34"/>
        </w:rPr>
        <w:t>4. 业界实践地图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4.1 公开可查的实践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90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机构</w:t>
            </w:r>
          </w:p>
        </w:tc>
        <w:tc>
          <w:tcPr>
            <w:tcW w:type="dxa" w:w="190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场景</w:t>
            </w:r>
          </w:p>
        </w:tc>
        <w:tc>
          <w:tcPr>
            <w:tcW w:type="dxa" w:w="190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方法</w:t>
            </w:r>
          </w:p>
        </w:tc>
        <w:tc>
          <w:tcPr>
            <w:tcW w:type="dxa" w:w="190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公开数据</w:t>
            </w:r>
          </w:p>
        </w:tc>
        <w:tc>
          <w:tcPr>
            <w:tcW w:type="dxa" w:w="190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证据等级</w:t>
            </w:r>
          </w:p>
        </w:tc>
      </w:tr>
      <w:tr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Ramp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企业卡授权实时反欺诈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3 层 Transformer（自监督）+ 频率统计 → XGBoost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同预算下欺诈金额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+32%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；AP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+12%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；p99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84ms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官方工程博客（含消融与延迟细节）</w:t>
            </w:r>
          </w:p>
        </w:tc>
      </w:tr>
      <w:tr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Stripe（Radar）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收单侧支付欺诈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数百个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网络级聚合特征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 + 类别 embedding + 神经网络；反事实评估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ML 效果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每年提升 &gt;20%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；仅重训每月可提 recall 最多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0.5pp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；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90% 的卡在网络中出现过 &gt;1 次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官方技术指南（无架构图与论文）</w:t>
            </w:r>
          </w:p>
        </w:tc>
      </w:tr>
      <w:tr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Mastercard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发卡侧交易评分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Decision Intelligence /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Decision Intelligence Pro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（生成式）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平均欺诈检测提升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20%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；响应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125ms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官网产品页</w:t>
            </w:r>
          </w:p>
        </w:tc>
      </w:tr>
      <w:tr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Visa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支付基础模型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TREASURE（Transformer 编码器，静态/动态属性分离）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异常行为检测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+111%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，推荐嵌入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+104%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arXiv:2511.19693</w:t>
            </w:r>
          </w:p>
        </w:tc>
      </w:tr>
      <w:tr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Featurespace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银行/收单行为分析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ARIC 平台，Adaptive Behavioral Analytics（事件序列）+ 生成式预训练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5.1B 笔 / 180 家发卡行的预训练语料；高精度区间金额捕获显著提升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arXiv:2401.01641 + 官网</w:t>
            </w:r>
          </w:p>
        </w:tc>
      </w:tr>
      <w:tr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Feedzai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收单/发卡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Interleaved RNN（特征无关）+ TimeSHAP 可解释性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优于当时 SOTA，算力更省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arXiv:2002.05988 / 2012.00073</w:t>
            </w:r>
          </w:p>
        </w:tc>
      </w:tr>
      <w:tr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腾讯 / 微信支付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支付欺诈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GPT 式自回归预训练 + 差分卷积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服务头部支付商户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arXiv:2312.14406</w:t>
            </w:r>
          </w:p>
        </w:tc>
      </w:tr>
      <w:tr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Capital One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关系 + 序列联合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BRIDGE（序列-图联合训练）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优于图/序列单独基线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arXiv:2510.25126</w:t>
            </w:r>
          </w:p>
        </w:tc>
      </w:tr>
      <w:tr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Booking.com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账号/交易欺诈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SOHET（17 类异构事件）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+5.8%，预训练再 +2.6%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arXiv:2606.21356</w:t>
            </w:r>
          </w:p>
        </w:tc>
      </w:tr>
      <w:tr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NICE Actimize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AML / 金融犯罪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TCT 对比学习嵌入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单独 AUC 0.8644，叠加无增益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arXiv:2605.21490</w:t>
            </w:r>
          </w:p>
        </w:tc>
      </w:tr>
      <w:tr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支付宝 / Ant Group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信贷支付欺诈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结构感知分层 RNN、图学习、多视角序列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大规模线上部署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多篇论文与公开分享</w:t>
            </w:r>
          </w:p>
        </w:tc>
      </w:tr>
      <w:tr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京东金融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电商支付欺诈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Session-based RNN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早期工业验证</w:t>
            </w:r>
          </w:p>
        </w:tc>
        <w:tc>
          <w:tcPr>
            <w:tcW w:type="dxa" w:w="190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论文 + 公开分享</w:t>
            </w:r>
          </w:p>
        </w:tc>
      </w:tr>
    </w:tbl>
    <w:p>
      <w:pPr>
        <w:spacing w:after="80" w:line="240" w:lineRule="auto"/>
      </w:pPr>
    </w:p>
    <w:p>
      <w:pPr>
        <w:pBdr>
          <w:left w:val="single" w:sz="12" w:space="4" w:color="B45F06"/>
        </w:pBdr>
        <w:spacing w:before="80" w:after="160" w:line="348" w:lineRule="auto"/>
        <w:ind w:left="397"/>
      </w:pPr>
      <w:r>
        <w:rPr>
          <w:rFonts w:ascii="Helvetica Neue" w:hAnsi="Helvetica Neue" w:eastAsia="PingFang SC" w:cs="Helvetica Neue"/>
          <w:b w:val="0"/>
          <w:i/>
          <w:color w:val="3A3A3A"/>
          <w:sz w:val="20"/>
        </w:rPr>
        <w:t>说明：Stripe 与 Mastercard 的数字来自其官方页面，但没有公开架构细节与消融，不能与 Ramp 的 +32% 直接横向比较——</w:t>
      </w:r>
      <w:r>
        <w:rPr>
          <w:rFonts w:ascii="Helvetica Neue" w:hAnsi="Helvetica Neue" w:eastAsia="PingFang SC" w:cs="Helvetica Neue"/>
          <w:b/>
          <w:i/>
          <w:color w:val="3A3A3A"/>
          <w:sz w:val="20"/>
        </w:rPr>
        <w:t>基线不同、指标定义不同、客群不同</w:t>
      </w:r>
      <w:r>
        <w:rPr>
          <w:rFonts w:ascii="Helvetica Neue" w:hAnsi="Helvetica Neue" w:eastAsia="PingFang SC" w:cs="Helvetica Neue"/>
          <w:b w:val="0"/>
          <w:i/>
          <w:color w:val="3A3A3A"/>
          <w:sz w:val="20"/>
        </w:rPr>
        <w:t>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4.2 三条技术路线对比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维度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路线 A：序列特征 → GBDT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路线 B：端到端序列模型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路线 C：序列表征 → GBDT（Ramp 路线）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典型代表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银行评分卡 + 窗口聚合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Feedzai Interleaved RNN、微信支付 GPT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Ramp、Featurespace、多数工业落地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上线风险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低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高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中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可解释性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高（特征即理由）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低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中高（surprisal 可单独解读）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冷启动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依赖规则兜底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差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中（类别兜底 token）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迭代速度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快（加特征即迭代）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慢（改结构要重训）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快（换编码器不动决策层）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延迟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最低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中高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中（Ramp 做到 54ms 中位）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收益上限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高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适用条件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数据 &lt; 千万、团队小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数据 &gt; 十亿、有推理基建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已有强 GBDT + 特征平台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4.3 为什么业界收敛到"混合"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三个结构性原因：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1.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标签延迟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让端到端训练极难收敛：欺诈标签要等拒付，30–120 天。自监督预训练绕开了这个约束，但最终决策层仍需要"标签友好、可增量训练"的模型——GBDT 天然适合。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2.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特征平台已经存在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：大多数风控团队已有窗口聚合特征与实时特征服务。把序列模型塞进现有特征管道，比替换整条决策链便宜一个数量级。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3.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合规要求理由码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：拒付申诉、监管问询、客户解释都需要"为什么拒"。GBDT + SHAP 是当下最成熟的理由码生产线；纯序列模型的注意力权重很难直接转成业务语言。</w:t>
      </w:r>
    </w:p>
    <w:p>
      <w:pPr>
        <w:keepNext/>
        <w:pageBreakBefore/>
        <w:pBdr>
          <w:bottom w:val="single" w:sz="8" w:space="4" w:color="0F2E4C"/>
        </w:pBdr>
        <w:spacing w:before="120" w:after="200"/>
      </w:pPr>
      <w:r>
        <w:rPr>
          <w:rFonts w:ascii="Helvetica Neue" w:hAnsi="Helvetica Neue" w:eastAsia="PingFang SC" w:cs="Helvetica Neue"/>
          <w:b/>
          <w:color w:val="0F2E4C"/>
          <w:sz w:val="34"/>
        </w:rPr>
        <w:t>5. 设计决策手册（12 个决策点）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#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决策点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选项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推荐与理由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序列主体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单卡 / 人 / 人多卡 / 设备 / 商户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发卡侧用"人多卡"（Ramp 做法），收单侧用"卡 + 设备 + 邮箱"多主体；单卡会漏掉换卡攻击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序列长度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16 / 64 / 128 / 256 / 全历史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32–128 起步。Ramp 明确截断，理由是"欺诈是近期断裂，且其他特征已回看数月"；长历史用检索式（SIM）而非硬塞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时间表示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绝对时间 / Δt / Time2Vec / 学习式位置编码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Δt + 学习式位置编码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（FraudTransformer 消融证明两者互补）；绝对时间易学到季节性伪相关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类别编码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独立 embedding / 哈希 / 分层兜底 / 目标编码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分层兜底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（高频独立、中频哈希、长尾按类兜底）；目标编码在时序场景极易泄漏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预训练目标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next-event / masked / swap / 对比 / 多任务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至少 next-event + masked；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swap 性价比最高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（&lt;1% 训练时间）；对比学习要小心"负样本太易"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输出形态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仅 embedding / embedding + 标量分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必须给标量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（surprisal、swap score）。标量可分项解读、可监控、可写理由码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7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下游组合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端到端 / 拼接特征 / 残差 / stacking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拼接特征（路线 C）最稳；端到端只在数据量 &gt; 十亿时考虑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8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损失函数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BCE / focal / 金额加权 / 代价敏感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金额加权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（Ramp 单独贡献 +29%）；可与 focal 叠加，但要在验证集校准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9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模型规模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1–3 层 / 6–12 层 / 基础模型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3 层、d_model 128–256、4–8 头。原文原话：宁可频繁重训小的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10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重训频率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周 / 月 / 季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周更（Stripe 数据：仅重训每月可提 recall 0.5pp）；预训练季度级，下游周更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11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推理硬件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GPU / CPU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CPU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。Ramp 打包成一个 CPU 包，避免 GPU 排队带来的尾延迟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12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上线方式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直接切 / shadow / 小流量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shadow → 1% → 10% → 50% → 100%，每级验证"分数一致性 + 延迟 + 告警量"</w:t>
            </w:r>
          </w:p>
        </w:tc>
      </w:tr>
    </w:tbl>
    <w:p>
      <w:pPr>
        <w:spacing w:after="80" w:line="240" w:lineRule="auto"/>
      </w:pPr>
    </w:p>
    <w:p>
      <w:pPr>
        <w:keepNext/>
        <w:pageBreakBefore/>
        <w:pBdr>
          <w:bottom w:val="single" w:sz="8" w:space="4" w:color="0F2E4C"/>
        </w:pBdr>
        <w:spacing w:before="120" w:after="200"/>
      </w:pPr>
      <w:r>
        <w:rPr>
          <w:rFonts w:ascii="Helvetica Neue" w:hAnsi="Helvetica Neue" w:eastAsia="PingFang SC" w:cs="Helvetica Neue"/>
          <w:b/>
          <w:color w:val="0F2E4C"/>
          <w:sz w:val="34"/>
        </w:rPr>
        <w:t>6. 风险与坑（12 条）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6.1 标签问题（第一大风险）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问题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表现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后果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对策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标签延迟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拒付在交易后 30–120 天才确认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训练集"最近的样本"标签不全，模型学不到最新模式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用"成熟窗口"（如 T-90 天前）训练；近期样本只用于监控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选择性标签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只有被拦下/被调查的交易才有确定结论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模型只学到"上一版模型会拦什么"，形成自我强化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保留随机放行样本（exploration budget）；用反事实/倾向加权校正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拒付 ≠ 欺诈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客户忘记、商户未发货、友好欺诈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标签噪声，尤其小额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区分"欺诈"与"争议"；对友好欺诈单独建模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退款/撤销未回填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授权成功后退款，标签仍为负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假阴性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事件表要区分 auth / capture / refund / chargeback 四态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6.2 数据泄漏（第二大风险）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泄漏类型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具体表现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检测方法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时间穿越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用整段时期算均值/编码后再切分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任何 fit 都必须只用训练期数据；用 expanding-window 验证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目标编码泄漏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用全量标签算类别均值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时序场景禁用，或改为 out-of-fold + 时间隔离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padding 泄漏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用 0 填充后，attention mask 写错，模型看到未来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单元测试：把未来 token 改成随机值，输出必须不变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序列内泄漏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用同一笔交易的特征去预测它自己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严格"历史 = 发生在被评分时刻之前且已到达系统"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预处理在切分前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标准化/缺失填充用了全量统计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把预处理放进 pipeline，随 fold 重 fit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证据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：arXiv:2506.02703 用最小网络在错误协议下拿到 99.9% recall。你看到的"Transformer 把 AUC 刷到 0.99"很可能只是泄漏。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6.3 训练/服务偏斜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离线用批处理算的"近 24h 笔数"，线上用流式算，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定义必须逐字一致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；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Ramp 的做法：</w:t>
      </w:r>
      <w:r>
        <w:rPr>
          <w:rFonts w:ascii="Helvetica Neue" w:hAnsi="Helvetica Neue" w:eastAsia="PingFang SC" w:cs="Helvetica Neue"/>
          <w:b/>
          <w:color w:val="1A1A1A"/>
          <w:sz w:val="21"/>
        </w:rPr>
        <w:t>一份特征定义，编译两次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（Snowflake 回填 + 流式视图）；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上线前必做：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同一批请求，离线与线上分数比对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，容差为 0。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6.4 概念漂移与对抗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欺诈是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对抗性分布漂移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：攻击者会针对你的模型调整（测试小额、换商户、改设备指纹）；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监控指标：分数分布 PSI、特征覆盖率、告警量、拒付率、按商户/国家分组的捕获率；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结构上：预训练语料要滚动更新（否则"新商户类别"永远落在兜底 token）；下游模型周更。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6.5 冷启动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场景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问题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对策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新持卡人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无历史序列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用人口统计/企业属性/首笔商户类别做先验；序列模型输出置信度，低置信时降权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新商户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不在词表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类别兜底 token（Ramp）；或用商户名文本 embedding 兜底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新市场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分布完全不同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分市场建模或加市场 token；不要用单一全局模型硬扛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6.6 评估陷阱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陷阱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说明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只看 ROC-AUC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高度不平衡下会严重高估；用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PR-AUC / AP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只看 recall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忽略告警容量；用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固定告警预算下的捕获率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不看金额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欺诈金额分布极偏；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必须报告金额加权指标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单次切分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用滚动多折 + bootstrap 置信区间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忽略延迟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一个 p99 超线的模型等于不可用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6.7 延迟与成本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 w:val="0"/>
          <w:color w:val="1A1A1A"/>
          <w:sz w:val="21"/>
        </w:rPr>
        <w:t>Ramp 的教训可归纳为三条工程规则：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1.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不要 padding 到固定 batch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。批内 padding 会让小请求付出全 batch 的算力，尤其当输出层是 47k 维 softmax 时。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2.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不要把大表放在 GC 可达路径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。Python 的循环引用扫描会遍历模块级大对象。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3.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线上只算"必要的头"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。训练时要预测 47k 商户，线上只需要 surprisal 与 embedding——不要顺手把完整 softmax 也算一遍。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6.8 可解释性与合规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要求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来源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对模型设计的约束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拒付/拒批需给理由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卡组织规则、消费者保护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输出必须能映射到业务语言（商户/金额/国家/呈现方式 的 surprisal 正好可用）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模型风险管理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美联储 SR 11-7 类框架（银行）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需模型文档、独立验证、持续监控、变更管理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自动化决策解释权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GDPR 第 22 条（欧盟）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需"有意义的解释"，纯黑箱不满足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公平信贷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ECOA / 反歧视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需检查代理变量（邮编、商户类型可能间接编码族群）；TimeSHAP 论文正是靠时间归因发现了年龄歧视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数据最小化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PCI DSS / 隐私法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序列里不要放 PAN 明文；商户名要脱敏；跨机构训练考虑联邦学习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6.9 组织与流程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回滚能力是硬要求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：Ramp 从回滚到重新上线不到 1 天，靠的是"配置开关 + 影子流量"。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影子模式必须能比分数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：不只是比指标，要比"逐笔分数差异"。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/>
          <w:color w:val="1A1A1A"/>
          <w:sz w:val="21"/>
        </w:rPr>
        <w:t>模型卡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：记录训练窗口、语料来源、已知失效场景、监控阈值。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6.10 "Transformer 不是万能"的负结果清单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1.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NICE Actimize：对比学习嵌入 + 工程特征 = 0.9205 &lt; 基线 0.9245。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2.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IEEE-CIS：图 Transformer 0.8536 &lt; HGB 0.8722。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3.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Grinsztajn et al.：中型表格数据上树模型仍 SOTA。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4.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单层多核 CNN 在效率与归纳偏置上优于 LSTM/Transformer（ICDMW'24）。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5.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Ramp 自身：Transformer 只占 SHAP 15%，大头是损失函数。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共同点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：当特征工程已经很强、数据量不够大、或任务本身是"表格型判别"而非"序列生成"时，Transformer 的边际收益会掉到零甚至为负。</w:t>
      </w:r>
    </w:p>
    <w:p>
      <w:pPr>
        <w:keepNext/>
        <w:pageBreakBefore/>
        <w:pBdr>
          <w:bottom w:val="single" w:sz="8" w:space="4" w:color="0F2E4C"/>
        </w:pBdr>
        <w:spacing w:before="120" w:after="200"/>
      </w:pPr>
      <w:r>
        <w:rPr>
          <w:rFonts w:ascii="Helvetica Neue" w:hAnsi="Helvetica Neue" w:eastAsia="PingFang SC" w:cs="Helvetica Neue"/>
          <w:b/>
          <w:color w:val="0F2E4C"/>
          <w:sz w:val="34"/>
        </w:rPr>
        <w:t>7. 金融场景实例（8 个）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7.1 信用卡/借记卡授权实时反欺诈（发卡侧）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项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内容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序列定义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持卡人（跨卡）最近 32–128 笔授权，含商户/类别/国家/金额/呈现方式/是否通过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标签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拒付（chargeback）+ 确认欺诈；延迟 30–120 天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延迟预算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端到端 &lt; 200ms，模型步 &lt; 60ms（Ramp 实测中位 54ms）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信号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商户、MCC、国家、金额、卡呈现方式、终端、3DS 结果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已验证增益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同预算欺诈金额 +32%（Ramp）；异常检测 +111%（Visa TREASURE）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注意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金额加权损失收益可能大于模型本身；首笔欺诈是难点（Ramp 在该切片 +40%）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7.2 收单侧商户欺诈与 CNP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项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内容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序列定义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卡号在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全网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的支付序列（跨商户），而非单商户视角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标签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争议/拒付、商户投诉、卡组织预警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延迟预算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 100ms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信号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数百个网络级聚合特征 + 类别 embedding（Stripe 做法：卡国家、IP 与 IP 国家、IP 与卡一致性（对比该卡历史 top-2 IP）、近 24h 成功授权国家数、设备时钟偏移）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已验证增益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ML 效果每年 &gt;20% 提升；仅重训每月 recall +0.5pp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注意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网络效应是核心资产：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90% 的卡在网络中出现 &gt;1 次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；小商户自建模型无法复制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一个反直觉特征值得单独说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：设备时钟偏移（设备时间与 UTC 的差）。Stripe 明确指出这类"看起来无关"的信号来自对上千个欺诈案例的人工复盘——</w:t>
      </w:r>
      <w:r>
        <w:rPr>
          <w:rFonts w:ascii="Helvetica Neue" w:hAnsi="Helvetica Neue" w:eastAsia="PingFang SC" w:cs="Helvetica Neue"/>
          <w:b/>
          <w:color w:val="1A1A1A"/>
          <w:sz w:val="21"/>
        </w:rPr>
        <w:t>特征工程的直觉仍然不可替代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7.3 账户盗用（ATO）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项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内容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序列定义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登录事件 + 设备事件 + 交易事件的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异构混合序列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（Booking.com 的 SOHET 用 17 类事件）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标签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确认盗号、密码重置、客服工单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延迟预算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登录时 &lt; 300ms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信号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设备指纹、IP 跳变、输入节奏（行为生物特征）、改密/改绑手机、首次提现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已验证增益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异构事件 Transformer + 预训练 +5.8%，预训练再 +2.6%（SOHET）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注意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必须用"事件类型专属编码器"，不能把 17 类事件塞进同一个 embedding 表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7.4 反洗钱 / 交易监测（AML）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项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内容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序列定义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账户级资金流序列 + 交易对手图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标签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可疑活动报告（SAR）后续确认；极度稀疏（万分之一量级）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延迟预算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准实时（秒–分钟），可批量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信号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金额结构（拆分）、对手方集中度、跨行快进快出、时间规律性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已验证增益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序列-图联合（BRIDGE）优于单独图/单独序列；TCT 嵌入单独 AUC 0.8644 但叠加无增益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注意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标签极少且噪声大 → 自监督 + 弱监督是主路；可解释性是监管硬要求（要能写出可疑理由）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7.5 信贷申请欺诈 / 团伙欺诈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项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内容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序列定义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申请行为序列（填表节奏、字段修改次数）+ 设备/联系人图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标签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首期逾期（FPD）、失联、确认伪冒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延迟预算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分钟级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信号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申请字段变更轨迹、设备复用、联系人重叠、地址聚集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已验证增益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VecAug 的"同侪增强"：AUC +2.48%，R@P0.9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+22.5%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注意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团伙欺诈的关键是"同侪对照"——不要只看个体序列，要看"和它相似的人怎么做"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7.6 保险理赔欺诈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项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内容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序列定义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患者/被保人的就诊/理赔事件序列（ICD 编码序列）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标签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调查确认欺诈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延迟预算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小时级（可批量）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已验证增益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序列嵌入显著优于传统 ML（arXiv:1910.03072，Allianz 数据）；无监督 LSTM 下一就诊预测可行（arXiv:2007.10098）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注意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事件类型离散、时间间隔长，点过程方法（THP）比纯 Transformer 更契合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7.7 企业费用管理 / B2B 卡（Ramp 特有）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项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内容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序列定义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一名员工在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一个企业内的全部卡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的最近交易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标签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拒付 + 企业主动上报的滥用（ misuse，如个人消费）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延迟预算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与消费卡相同（&lt; 200ms）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特殊信号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部门预算、审批流、供应商白名单、差旅政策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注意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B2B 的"合法大额"更常见，纯异常检测会误伤；必须与政策引擎结合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7.8 加密资产 / 链上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项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内容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序列定义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地址的交易序列 + 交易图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标签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黑名单地址关联、司法确认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已验证方法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BERT4ETH 类（交易序列掩码预训练）、交易语言模型 + 图联合（arXiv:2409.07494、2509.03939）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注意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地址可无限生成，冷启动极严重；图结构比序列更重要</w:t>
            </w:r>
          </w:p>
        </w:tc>
      </w:tr>
    </w:tbl>
    <w:p>
      <w:pPr>
        <w:spacing w:after="80" w:line="240" w:lineRule="auto"/>
      </w:pPr>
    </w:p>
    <w:p>
      <w:pPr>
        <w:keepNext/>
        <w:pageBreakBefore/>
        <w:pBdr>
          <w:bottom w:val="single" w:sz="8" w:space="4" w:color="0F2E4C"/>
        </w:pBdr>
        <w:spacing w:before="120" w:after="200"/>
      </w:pPr>
      <w:r>
        <w:rPr>
          <w:rFonts w:ascii="Helvetica Neue" w:hAnsi="Helvetica Neue" w:eastAsia="PingFang SC" w:cs="Helvetica Neue"/>
          <w:b/>
          <w:color w:val="0F2E4C"/>
          <w:sz w:val="34"/>
        </w:rPr>
        <w:t>8. 落地路线图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Phase 0：基线与可行性（2–4 周）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目标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：证明"序列信息有增量"，而不是"Transformer 有效"。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任务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产出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建时间正确的训练/验证切分（按时间，不随机）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数据快照 + 切分脚本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GBDT 基线 + 现有窗口特征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PR-AUC、R@固定预算、金额召回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加"简单序列特征"（最近 1 笔的商户/金额差、最近 3 笔的国家去重）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增量表：ΔAP、Δ金额召回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泄漏审计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检查清单逐项签字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验收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：简单序列特征带来可测增量（哪怕 1–2% AP）。若无增量，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停止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，不要上 Transformer。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常见失败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：直接上模型，结果无法归因；切分随机导致全线虚高。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Phase 1：数据与特征平台（4–8 周）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任务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要点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事件表设计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区分 auth / capture / refund / chargeback / adjustment；每行带 </w:t>
            </w:r>
            <w:r>
              <w:rPr>
                <w:rFonts w:ascii="Menlo" w:hAnsi="Menlo" w:eastAsia="PingFang SC" w:cs="Menlo"/>
                <w:color w:val="8A2B2B"/>
                <w:sz w:val="15"/>
              </w:rPr>
              <w:t>event_time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 与 </w:t>
            </w:r>
            <w:r>
              <w:rPr>
                <w:rFonts w:ascii="Menlo" w:hAnsi="Menlo" w:eastAsia="PingFang SC" w:cs="Menlo"/>
                <w:color w:val="8A2B2B"/>
                <w:sz w:val="15"/>
              </w:rPr>
              <w:t>ingest_time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Point-in-time join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"历史"定义：</w:t>
            </w:r>
            <w:r>
              <w:rPr>
                <w:rFonts w:ascii="Menlo" w:hAnsi="Menlo" w:eastAsia="PingFang SC" w:cs="Menlo"/>
                <w:color w:val="8A2B2B"/>
                <w:sz w:val="15"/>
              </w:rPr>
              <w:t>event_time &lt; t_decision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 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且</w:t>
            </w:r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 xml:space="preserve"> </w:t>
            </w:r>
            <w:r>
              <w:rPr>
                <w:rFonts w:ascii="Menlo" w:hAnsi="Menlo" w:eastAsia="PingFang SC" w:cs="Menlo"/>
                <w:color w:val="8A2B2B"/>
                <w:sz w:val="15"/>
              </w:rPr>
              <w:t>ingest_time &lt; t_decision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流批一体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一份定义两种编译（Ramp 模式）：批处理回填 + 流式视图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序列样本生成器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给定 (subject_id, t)，返回最近 N 笔的定长数组 + mask + Δt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验收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：同一 (subject, t) 在离线和线上取到的序列</w:t>
      </w:r>
      <w:r>
        <w:rPr>
          <w:rFonts w:ascii="Helvetica Neue" w:hAnsi="Helvetica Neue" w:eastAsia="PingFang SC" w:cs="Helvetica Neue"/>
          <w:b/>
          <w:color w:val="1A1A1A"/>
          <w:sz w:val="21"/>
        </w:rPr>
        <w:t>完全一致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（逐字段 diff 为 0）。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Phase 2：序列编码器（4–6 周）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顺序建议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：先 CNN（ICDMW'24 证明其效率与归纳偏置优势）→ 再 GRU → 最后 Transformer。每一步都要与上一步比。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组件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起步配置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层数 / 维度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2–3 层，d_model 128–256，4–8 头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序列长度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64（可扩到 128）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Dropout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0.1–0.2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输出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embedding（128 维）+ 每字段 surprisal + swap score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训练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混合精度；单机 4 卡足够（Ramp: 4×L40S &lt;1.5h）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验收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：单独用序列模型（不用任何窗口特征）的 AP 达到 GBDT 基线的 80% 以上——说明表示有效。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Phase 3：自监督预训练（3–5 周）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目标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实现要点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Next-event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因果掩码；对商户/类别/国家/金额分别建头；损失按字段加权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Masked fill-in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随机遮 15% 历史步，双向注意力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Swap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一半样本替换某笔的某字段为他人片段，二分类；成本 &lt;1%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课程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先短序列后长序列；先高频商户后全量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验收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：冻结编码器 + 线性探针，在下游欺诈任务上优于随机初始化 ≥3% AP。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Phase 4：上线（3–4 周）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步骤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检查项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打包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计数 + 编码器 + GBDT 打成</w:t>
            </w:r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单个 CPU 包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影子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双跑，比逐笔分数分布与 top-k 重叠率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小流量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1% → 10%，看延迟 p50/p99、告警量、拒付率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全量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保留一键回滚开关</w:t>
            </w:r>
          </w:p>
        </w:tc>
      </w:tr>
    </w:tbl>
    <w:p>
      <w:pPr>
        <w:spacing w:after="80" w:line="240" w:lineRule="auto"/>
      </w:pP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验收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：p99 在预算内；同预算捕获金额提升可复现；无异常告警量波动。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Phase 5：监控与迭代（长期）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监控项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阈值示例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动作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分数分布 PSI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&gt; 0.1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排查上游数据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特征覆盖率（商户兜底 token 占比）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&gt; 30%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扩充词表 / 重训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告警量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偏离 ±20%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检查阈值与流量结构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捕获金额率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周环比下降 &gt;5%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触发重训评估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p99 延迟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超预算 80%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性能回归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分群捕获率差异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某商户/国家显著下降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定向排查攻击迁移</w:t>
            </w:r>
          </w:p>
        </w:tc>
      </w:tr>
    </w:tbl>
    <w:p>
      <w:pPr>
        <w:spacing w:after="80" w:line="240" w:lineRule="auto"/>
      </w:pPr>
    </w:p>
    <w:p>
      <w:pPr>
        <w:keepNext/>
        <w:pageBreakBefore/>
        <w:pBdr>
          <w:bottom w:val="single" w:sz="8" w:space="4" w:color="0F2E4C"/>
        </w:pBdr>
        <w:spacing w:before="120" w:after="200"/>
      </w:pPr>
      <w:r>
        <w:rPr>
          <w:rFonts w:ascii="Helvetica Neue" w:hAnsi="Helvetica Neue" w:eastAsia="PingFang SC" w:cs="Helvetica Neue"/>
          <w:b/>
          <w:color w:val="0F2E4C"/>
          <w:sz w:val="34"/>
        </w:rPr>
        <w:t>9. 参考实现骨架</w:t>
      </w:r>
    </w:p>
    <w:p>
      <w:pPr>
        <w:pBdr>
          <w:left w:val="single" w:sz="12" w:space="4" w:color="B45F06"/>
        </w:pBdr>
        <w:spacing w:before="80" w:after="160" w:line="348" w:lineRule="auto"/>
        <w:ind w:left="397"/>
      </w:pPr>
      <w:r>
        <w:rPr>
          <w:rFonts w:ascii="Helvetica Neue" w:hAnsi="Helvetica Neue" w:eastAsia="PingFang SC" w:cs="Helvetica Neue"/>
          <w:b w:val="0"/>
          <w:i/>
          <w:color w:val="3A3A3A"/>
          <w:sz w:val="20"/>
        </w:rPr>
        <w:t>以下为可运行的最小骨架，用于说明结构与关键细节，不含生产级工程（分布式、监控、灰度）。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9.1 事件表 schema</w:t>
      </w:r>
    </w:p>
    <w:p>
      <w:pPr>
        <w:pBdr>
          <w:left w:val="single" w:sz="12" w:space="4" w:color="C9D2DA"/>
        </w:pBdr>
        <w:shd w:val="clear" w:color="auto" w:fill="F4F6F8"/>
        <w:spacing w:before="120" w:after="180" w:line="240" w:lineRule="auto"/>
        <w:ind w:left="170" w:right="170"/>
      </w:pPr>
      <w:r>
        <w:rPr>
          <w:rFonts w:ascii="Menlo" w:hAnsi="Menlo" w:eastAsia="PingFang SC" w:cs="Menlo"/>
          <w:color w:val="24292E"/>
          <w:sz w:val="14"/>
        </w:rPr>
        <w:t>-- 一行 = 一个事件，不是一笔"交易"（退款/拒付是独立事件）</w:t>
        <w:br/>
      </w:r>
      <w:r>
        <w:rPr>
          <w:rFonts w:ascii="Menlo" w:hAnsi="Menlo" w:eastAsia="PingFang SC" w:cs="Menlo"/>
          <w:color w:val="24292E"/>
          <w:sz w:val="14"/>
        </w:rPr>
        <w:t>CREATE TABLE card_events (</w:t>
        <w:br/>
      </w:r>
      <w:r>
        <w:rPr>
          <w:rFonts w:ascii="Menlo" w:hAnsi="Menlo" w:eastAsia="PingFang SC" w:cs="Menlo"/>
          <w:color w:val="24292E"/>
          <w:sz w:val="14"/>
        </w:rPr>
        <w:t xml:space="preserve">    subject_id     STRING,   -- 人多卡：企业内员工 ID；发卡侧也可用 card_id</w:t>
        <w:br/>
      </w:r>
      <w:r>
        <w:rPr>
          <w:rFonts w:ascii="Menlo" w:hAnsi="Menlo" w:eastAsia="PingFang SC" w:cs="Menlo"/>
          <w:color w:val="24292E"/>
          <w:sz w:val="14"/>
        </w:rPr>
        <w:t xml:space="preserve">    event_id       STRING,</w:t>
        <w:br/>
      </w:r>
      <w:r>
        <w:rPr>
          <w:rFonts w:ascii="Menlo" w:hAnsi="Menlo" w:eastAsia="PingFang SC" w:cs="Menlo"/>
          <w:color w:val="24292E"/>
          <w:sz w:val="14"/>
        </w:rPr>
        <w:t xml:space="preserve">    event_time     TIMESTAMP, -- 业务发生时间</w:t>
        <w:br/>
      </w:r>
      <w:r>
        <w:rPr>
          <w:rFonts w:ascii="Menlo" w:hAnsi="Menlo" w:eastAsia="PingFang SC" w:cs="Menlo"/>
          <w:color w:val="24292E"/>
          <w:sz w:val="14"/>
        </w:rPr>
        <w:t xml:space="preserve">    ingest_time    TIMESTAMP, -- 系统接收时间（决定是否算"历史"）</w:t>
        <w:br/>
      </w:r>
      <w:r>
        <w:rPr>
          <w:rFonts w:ascii="Menlo" w:hAnsi="Menlo" w:eastAsia="PingFang SC" w:cs="Menlo"/>
          <w:color w:val="24292E"/>
          <w:sz w:val="14"/>
        </w:rPr>
        <w:t xml:space="preserve">    event_type     STRING,    -- auth / capture / refund / chargeback</w:t>
        <w:br/>
      </w:r>
      <w:r>
        <w:rPr>
          <w:rFonts w:ascii="Menlo" w:hAnsi="Menlo" w:eastAsia="PingFang SC" w:cs="Menlo"/>
          <w:color w:val="24292E"/>
          <w:sz w:val="14"/>
        </w:rPr>
        <w:t xml:space="preserve">    merchant_id    STRING,</w:t>
        <w:br/>
      </w:r>
      <w:r>
        <w:rPr>
          <w:rFonts w:ascii="Menlo" w:hAnsi="Menlo" w:eastAsia="PingFang SC" w:cs="Menlo"/>
          <w:color w:val="24292E"/>
          <w:sz w:val="14"/>
        </w:rPr>
        <w:t xml:space="preserve">    mcc            STRING,</w:t>
        <w:br/>
      </w:r>
      <w:r>
        <w:rPr>
          <w:rFonts w:ascii="Menlo" w:hAnsi="Menlo" w:eastAsia="PingFang SC" w:cs="Menlo"/>
          <w:color w:val="24292E"/>
          <w:sz w:val="14"/>
        </w:rPr>
        <w:t xml:space="preserve">    country        STRING,</w:t>
        <w:br/>
      </w:r>
      <w:r>
        <w:rPr>
          <w:rFonts w:ascii="Menlo" w:hAnsi="Menlo" w:eastAsia="PingFang SC" w:cs="Menlo"/>
          <w:color w:val="24292E"/>
          <w:sz w:val="14"/>
        </w:rPr>
        <w:t xml:space="preserve">    amount_usd     DOUBLE,</w:t>
        <w:br/>
      </w:r>
      <w:r>
        <w:rPr>
          <w:rFonts w:ascii="Menlo" w:hAnsi="Menlo" w:eastAsia="PingFang SC" w:cs="Menlo"/>
          <w:color w:val="24292E"/>
          <w:sz w:val="14"/>
        </w:rPr>
        <w:t xml:space="preserve">    currency       STRING,</w:t>
        <w:br/>
      </w:r>
      <w:r>
        <w:rPr>
          <w:rFonts w:ascii="Menlo" w:hAnsi="Menlo" w:eastAsia="PingFang SC" w:cs="Menlo"/>
          <w:color w:val="24292E"/>
          <w:sz w:val="14"/>
        </w:rPr>
        <w:t xml:space="preserve">    card_present   STRING,    -- chip / swipe / online / wallet / manual</w:t>
        <w:br/>
      </w:r>
      <w:r>
        <w:rPr>
          <w:rFonts w:ascii="Menlo" w:hAnsi="Menlo" w:eastAsia="PingFang SC" w:cs="Menlo"/>
          <w:color w:val="24292E"/>
          <w:sz w:val="14"/>
        </w:rPr>
        <w:t xml:space="preserve">    approved       BOOLEAN,</w:t>
        <w:br/>
      </w:r>
      <w:r>
        <w:rPr>
          <w:rFonts w:ascii="Menlo" w:hAnsi="Menlo" w:eastAsia="PingFang SC" w:cs="Menlo"/>
          <w:color w:val="24292E"/>
          <w:sz w:val="14"/>
        </w:rPr>
        <w:t xml:space="preserve">    is_fraud       INT,       -- 0/1，NULL = 标签未成熟</w:t>
        <w:br/>
      </w:r>
      <w:r>
        <w:rPr>
          <w:rFonts w:ascii="Menlo" w:hAnsi="Menlo" w:eastAsia="PingFang SC" w:cs="Menlo"/>
          <w:color w:val="24292E"/>
          <w:sz w:val="14"/>
        </w:rPr>
        <w:t xml:space="preserve">    label_mature_at TIMESTAMP</w:t>
        <w:br/>
      </w:r>
      <w:r>
        <w:rPr>
          <w:rFonts w:ascii="Menlo" w:hAnsi="Menlo" w:eastAsia="PingFang SC" w:cs="Menlo"/>
          <w:color w:val="24292E"/>
          <w:sz w:val="14"/>
        </w:rPr>
        <w:t>);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9.2 分层商户词表</w:t>
      </w:r>
    </w:p>
    <w:p>
      <w:pPr>
        <w:pBdr>
          <w:left w:val="single" w:sz="12" w:space="4" w:color="C9D2DA"/>
        </w:pBdr>
        <w:shd w:val="clear" w:color="auto" w:fill="F4F6F8"/>
        <w:spacing w:before="120" w:after="180" w:line="240" w:lineRule="auto"/>
        <w:ind w:left="170" w:right="170"/>
      </w:pPr>
      <w:r>
        <w:rPr>
          <w:rFonts w:ascii="Menlo" w:hAnsi="Menlo" w:eastAsia="PingFang SC" w:cs="Menlo"/>
          <w:color w:val="24292E"/>
          <w:sz w:val="14"/>
        </w:rPr>
        <w:t>import hashlib</w:t>
        <w:br/>
      </w:r>
      <w:r>
        <w:rPr>
          <w:rFonts w:ascii="Menlo" w:hAnsi="Menlo" w:eastAsia="PingFang SC" w:cs="Menlo"/>
          <w:color w:val="24292E"/>
          <w:sz w:val="14"/>
        </w:rPr>
        <w:t>from collections import Counter</w:t>
        <w:br/>
      </w:r>
      <w:r>
        <w:rPr>
          <w:rFonts w:ascii="Menlo" w:hAnsi="Menlo" w:eastAsia="PingFang SC" w:cs="Menlo"/>
          <w:color w:val="24292E"/>
          <w:sz w:val="14"/>
        </w:rPr>
        <w:br/>
      </w:r>
      <w:r>
        <w:rPr>
          <w:rFonts w:ascii="Menlo" w:hAnsi="Menlo" w:eastAsia="PingFang SC" w:cs="Menlo"/>
          <w:color w:val="24292E"/>
          <w:sz w:val="14"/>
        </w:rPr>
        <w:t>class MerchantVocab:</w:t>
        <w:br/>
      </w:r>
      <w:r>
        <w:rPr>
          <w:rFonts w:ascii="Menlo" w:hAnsi="Menlo" w:eastAsia="PingFang SC" w:cs="Menlo"/>
          <w:color w:val="24292E"/>
          <w:sz w:val="14"/>
        </w:rPr>
        <w:t xml:space="preserve">    """高频独立、中频按类别哈希、长尾按类别兜底。词表变化不需重训。"""</w:t>
        <w:br/>
      </w:r>
      <w:r>
        <w:rPr>
          <w:rFonts w:ascii="Menlo" w:hAnsi="Menlo" w:eastAsia="PingFang SC" w:cs="Menlo"/>
          <w:color w:val="24292E"/>
          <w:sz w:val="14"/>
        </w:rPr>
        <w:t xml:space="preserve">    def __init__(self, freq: Counter, n_head=50_000, n_bucket=4_000):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self.head = {m: i for i, (m, _) in enumerate(freq.most_common(n_head))}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self.n_head = n_head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self.n_bucket = n_bucket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self.n_cat = 512</w:t>
        <w:br/>
      </w:r>
      <w:r>
        <w:rPr>
          <w:rFonts w:ascii="Menlo" w:hAnsi="Menlo" w:eastAsia="PingFang SC" w:cs="Menlo"/>
          <w:color w:val="24292E"/>
          <w:sz w:val="14"/>
        </w:rPr>
        <w:br/>
      </w:r>
      <w:r>
        <w:rPr>
          <w:rFonts w:ascii="Menlo" w:hAnsi="Menlo" w:eastAsia="PingFang SC" w:cs="Menlo"/>
          <w:color w:val="24292E"/>
          <w:sz w:val="14"/>
        </w:rPr>
        <w:t xml:space="preserve">    def _hash(self, merchant_id: str, mcc: str) -&gt; int: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h = int(hashlib.blake2b(f"{mcc}|{merchant_id}".encode(), digest_size=8).hexdigest(), 16)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return self.n_head + int(mcc) % self.n_cat * self.n_bucket + h % self.n_bucket</w:t>
        <w:br/>
      </w:r>
      <w:r>
        <w:rPr>
          <w:rFonts w:ascii="Menlo" w:hAnsi="Menlo" w:eastAsia="PingFang SC" w:cs="Menlo"/>
          <w:color w:val="24292E"/>
          <w:sz w:val="14"/>
        </w:rPr>
        <w:br/>
      </w:r>
      <w:r>
        <w:rPr>
          <w:rFonts w:ascii="Menlo" w:hAnsi="Menlo" w:eastAsia="PingFang SC" w:cs="Menlo"/>
          <w:color w:val="24292E"/>
          <w:sz w:val="14"/>
        </w:rPr>
        <w:t xml:space="preserve">    def cat_fallback(self, mcc: str) -&gt; int: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base = self.n_head + self.n_cat * self.n_bucket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return base + int(mcc) % self.n_cat</w:t>
        <w:br/>
      </w:r>
      <w:r>
        <w:rPr>
          <w:rFonts w:ascii="Menlo" w:hAnsi="Menlo" w:eastAsia="PingFang SC" w:cs="Menlo"/>
          <w:color w:val="24292E"/>
          <w:sz w:val="14"/>
        </w:rPr>
        <w:br/>
      </w:r>
      <w:r>
        <w:rPr>
          <w:rFonts w:ascii="Menlo" w:hAnsi="Menlo" w:eastAsia="PingFang SC" w:cs="Menlo"/>
          <w:color w:val="24292E"/>
          <w:sz w:val="14"/>
        </w:rPr>
        <w:t xml:space="preserve">    def __call__(self, merchant_id: str, mcc: str) -&gt; int: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if merchant_id in self.head: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return self.head[merchant_id]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if merchant_id:                      # 中频：类别内哈希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return self._hash(merchant_id, mcc)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return self.cat_fallback(mcc)        # 长尾/缺失：类别兜底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9.3 模型</w:t>
      </w:r>
    </w:p>
    <w:p>
      <w:pPr>
        <w:pBdr>
          <w:left w:val="single" w:sz="12" w:space="4" w:color="C9D2DA"/>
        </w:pBdr>
        <w:shd w:val="clear" w:color="auto" w:fill="F4F6F8"/>
        <w:spacing w:before="120" w:after="180" w:line="240" w:lineRule="auto"/>
        <w:ind w:left="170" w:right="170"/>
      </w:pPr>
      <w:r>
        <w:rPr>
          <w:rFonts w:ascii="Menlo" w:hAnsi="Menlo" w:eastAsia="PingFang SC" w:cs="Menlo"/>
          <w:color w:val="24292E"/>
          <w:sz w:val="14"/>
        </w:rPr>
        <w:t>import torch, torch.nn as nn</w:t>
        <w:br/>
      </w:r>
      <w:r>
        <w:rPr>
          <w:rFonts w:ascii="Menlo" w:hAnsi="Menlo" w:eastAsia="PingFang SC" w:cs="Menlo"/>
          <w:color w:val="24292E"/>
          <w:sz w:val="14"/>
        </w:rPr>
        <w:br/>
      </w:r>
      <w:r>
        <w:rPr>
          <w:rFonts w:ascii="Menlo" w:hAnsi="Menlo" w:eastAsia="PingFang SC" w:cs="Menlo"/>
          <w:color w:val="24292E"/>
          <w:sz w:val="14"/>
        </w:rPr>
        <w:t>class SeqEncoder(nn.Module):</w:t>
        <w:br/>
      </w:r>
      <w:r>
        <w:rPr>
          <w:rFonts w:ascii="Menlo" w:hAnsi="Menlo" w:eastAsia="PingFang SC" w:cs="Menlo"/>
          <w:color w:val="24292E"/>
          <w:sz w:val="14"/>
        </w:rPr>
        <w:t xml:space="preserve">    def __init__(self, vocab_size, n_mcc=512, n_country=256, n_present=16,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d=192, n_layers=3, n_heads=6, max_len=128):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super().__init__()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self.emb_merchant = nn.Embedding(vocab_size, d)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self.emb_mcc      = nn.Embedding(n_mcc, d)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self.emb_country  = nn.Embedding(n_country, d)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self.emb_present  = nn.Embedding(n_present, d)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self.emb_approved = nn.Embedding(2, d)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self.amt_proj     = nn.Linear(1, d)          # log1p(amount) 后投影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self.dt_proj      = nn.Linear(1, d)          # log1p(Δt 秒) 后投影</w:t>
        <w:br/>
      </w:r>
      <w:r>
        <w:rPr>
          <w:rFonts w:ascii="Menlo" w:hAnsi="Menlo" w:eastAsia="PingFang SC" w:cs="Menlo"/>
          <w:color w:val="24292E"/>
          <w:sz w:val="14"/>
        </w:rPr>
        <w:br/>
      </w:r>
      <w:r>
        <w:rPr>
          <w:rFonts w:ascii="Menlo" w:hAnsi="Menlo" w:eastAsia="PingFang SC" w:cs="Menlo"/>
          <w:color w:val="24292E"/>
          <w:sz w:val="14"/>
        </w:rPr>
        <w:t xml:space="preserve">        layer = nn.TransformerEncoderLayer(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d_model=d, nhead=n_heads, dim_feedforward=4*d,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dropout=0.1, batch_first=True, norm_first=True)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self.encoder = nn.TransformerEncoder(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layer, num_layers=n_layers, enable_nested_tensor=False)</w:t>
        <w:br/>
      </w:r>
      <w:r>
        <w:rPr>
          <w:rFonts w:ascii="Menlo" w:hAnsi="Menlo" w:eastAsia="PingFang SC" w:cs="Menlo"/>
          <w:color w:val="24292E"/>
          <w:sz w:val="14"/>
        </w:rPr>
        <w:br/>
      </w:r>
      <w:r>
        <w:rPr>
          <w:rFonts w:ascii="Menlo" w:hAnsi="Menlo" w:eastAsia="PingFang SC" w:cs="Menlo"/>
          <w:color w:val="24292E"/>
          <w:sz w:val="14"/>
        </w:rPr>
        <w:t xml:space="preserve">        self.head_merchant = nn.Linear(d, vocab_size)   # 训练时用于 next-event 损失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self.head_amt      = nn.Linear(d, 1)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self.head_country  = nn.Linear(d, n_country)</w:t>
        <w:br/>
      </w:r>
      <w:r>
        <w:rPr>
          <w:rFonts w:ascii="Menlo" w:hAnsi="Menlo" w:eastAsia="PingFang SC" w:cs="Menlo"/>
          <w:color w:val="24292E"/>
          <w:sz w:val="14"/>
        </w:rPr>
        <w:br/>
      </w:r>
      <w:r>
        <w:rPr>
          <w:rFonts w:ascii="Menlo" w:hAnsi="Menlo" w:eastAsia="PingFang SC" w:cs="Menlo"/>
          <w:color w:val="24292E"/>
          <w:sz w:val="14"/>
        </w:rPr>
        <w:t xml:space="preserve">    def forward(self, b):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x = (self.emb_merchant(b["merchant"]) + self.emb_mcc(b["mcc"])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+ self.emb_country(b["country"]) + self.emb_present(b["present"])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+ self.emb_approved(b["approved"])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+ self.amt_proj(b["log_amount"]) + self.dt_proj(b["log_dt"]))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pad = b["key_padding_mask"]                       # True = padding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causal = torch.triu(torch.ones(b["merchant"].size(1), b["merchant"].size(1),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                   device=x.device, dtype=torch.bool), diagonal=1)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h = self.encoder(x, mask=causal, src_key_padding_mask=pad)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# 取"最后一步有效位置"作为序列摘要（不要用 padding 位置）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idx = (~pad).sum(1) - 1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summary = h[torch.arange(h.size(0), device=h.device), idx]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return summary, h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9.4 三个训练目标</w:t>
      </w:r>
    </w:p>
    <w:p>
      <w:pPr>
        <w:pBdr>
          <w:left w:val="single" w:sz="12" w:space="4" w:color="C9D2DA"/>
        </w:pBdr>
        <w:shd w:val="clear" w:color="auto" w:fill="F4F6F8"/>
        <w:spacing w:before="120" w:after="180" w:line="240" w:lineRule="auto"/>
        <w:ind w:left="170" w:right="170"/>
      </w:pPr>
      <w:r>
        <w:rPr>
          <w:rFonts w:ascii="Menlo" w:hAnsi="Menlo" w:eastAsia="PingFang SC" w:cs="Menlo"/>
          <w:color w:val="24292E"/>
          <w:sz w:val="14"/>
        </w:rPr>
        <w:t>def next_event_loss(model, batch, w_amt=0.3, w_country=0.1):</w:t>
        <w:br/>
      </w:r>
      <w:r>
        <w:rPr>
          <w:rFonts w:ascii="Menlo" w:hAnsi="Menlo" w:eastAsia="PingFang SC" w:cs="Menlo"/>
          <w:color w:val="24292E"/>
          <w:sz w:val="14"/>
        </w:rPr>
        <w:t xml:space="preserve">    summary, _ = model(batch)</w:t>
        <w:br/>
      </w:r>
      <w:r>
        <w:rPr>
          <w:rFonts w:ascii="Menlo" w:hAnsi="Menlo" w:eastAsia="PingFang SC" w:cs="Menlo"/>
          <w:color w:val="24292E"/>
          <w:sz w:val="14"/>
        </w:rPr>
        <w:t xml:space="preserve">    # 用第 t 步的 summary 预测第 t+1 步 —— 训练时逐位置计算，线上只算最后一步</w:t>
        <w:br/>
      </w:r>
      <w:r>
        <w:rPr>
          <w:rFonts w:ascii="Menlo" w:hAnsi="Menlo" w:eastAsia="PingFang SC" w:cs="Menlo"/>
          <w:color w:val="24292E"/>
          <w:sz w:val="14"/>
        </w:rPr>
        <w:t xml:space="preserve">    logits_m = model.head_merchant(summary)</w:t>
        <w:br/>
      </w:r>
      <w:r>
        <w:rPr>
          <w:rFonts w:ascii="Menlo" w:hAnsi="Menlo" w:eastAsia="PingFang SC" w:cs="Menlo"/>
          <w:color w:val="24292E"/>
          <w:sz w:val="14"/>
        </w:rPr>
        <w:t xml:space="preserve">    loss_m = nn.functional.cross_entropy(logits_m, batch["next_merchant"])</w:t>
        <w:br/>
      </w:r>
      <w:r>
        <w:rPr>
          <w:rFonts w:ascii="Menlo" w:hAnsi="Menlo" w:eastAsia="PingFang SC" w:cs="Menlo"/>
          <w:color w:val="24292E"/>
          <w:sz w:val="14"/>
        </w:rPr>
        <w:t xml:space="preserve">    loss_a = nn.functional.mse_loss(model.head_amt(summary).squeeze(-1), batch["next_log_amount"])</w:t>
        <w:br/>
      </w:r>
      <w:r>
        <w:rPr>
          <w:rFonts w:ascii="Menlo" w:hAnsi="Menlo" w:eastAsia="PingFang SC" w:cs="Menlo"/>
          <w:color w:val="24292E"/>
          <w:sz w:val="14"/>
        </w:rPr>
        <w:t xml:space="preserve">    loss_c = nn.functional.cross_entropy(model.head_country(summary), batch["next_country"])</w:t>
        <w:br/>
      </w:r>
      <w:r>
        <w:rPr>
          <w:rFonts w:ascii="Menlo" w:hAnsi="Menlo" w:eastAsia="PingFang SC" w:cs="Menlo"/>
          <w:color w:val="24292E"/>
          <w:sz w:val="14"/>
        </w:rPr>
        <w:t xml:space="preserve">    return loss_m + w_amt * loss_a + w_country * loss_c</w:t>
        <w:br/>
      </w:r>
      <w:r>
        <w:rPr>
          <w:rFonts w:ascii="Menlo" w:hAnsi="Menlo" w:eastAsia="PingFang SC" w:cs="Menlo"/>
          <w:color w:val="24292E"/>
          <w:sz w:val="14"/>
        </w:rPr>
        <w:br/>
      </w:r>
      <w:r>
        <w:rPr>
          <w:rFonts w:ascii="Menlo" w:hAnsi="Menlo" w:eastAsia="PingFang SC" w:cs="Menlo"/>
          <w:color w:val="24292E"/>
          <w:sz w:val="14"/>
        </w:rPr>
        <w:t>def masked_loss(model, batch):</w:t>
        <w:br/>
      </w:r>
      <w:r>
        <w:rPr>
          <w:rFonts w:ascii="Menlo" w:hAnsi="Menlo" w:eastAsia="PingFang SC" w:cs="Menlo"/>
          <w:color w:val="24292E"/>
          <w:sz w:val="14"/>
        </w:rPr>
        <w:t xml:space="preserve">    """遮 15% 历史步，用完整上下文补全 —— 双向注意力版本"""</w:t>
        <w:br/>
      </w:r>
      <w:r>
        <w:rPr>
          <w:rFonts w:ascii="Menlo" w:hAnsi="Menlo" w:eastAsia="PingFang SC" w:cs="Menlo"/>
          <w:color w:val="24292E"/>
          <w:sz w:val="14"/>
        </w:rPr>
        <w:t xml:space="preserve">    batch = mask_steps(batch, p=0.15)</w:t>
        <w:br/>
      </w:r>
      <w:r>
        <w:rPr>
          <w:rFonts w:ascii="Menlo" w:hAnsi="Menlo" w:eastAsia="PingFang SC" w:cs="Menlo"/>
          <w:color w:val="24292E"/>
          <w:sz w:val="14"/>
        </w:rPr>
        <w:t xml:space="preserve">    _, h = model(batch)                      # 此路径关闭 causal mask</w:t>
        <w:br/>
      </w:r>
      <w:r>
        <w:rPr>
          <w:rFonts w:ascii="Menlo" w:hAnsi="Menlo" w:eastAsia="PingFang SC" w:cs="Menlo"/>
          <w:color w:val="24292E"/>
          <w:sz w:val="14"/>
        </w:rPr>
        <w:t xml:space="preserve">    return nn.functional.cross_entropy(model.head_merchant(h)[batch["masked"]],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                               batch["merchant"][batch["masked"]])</w:t>
        <w:br/>
      </w:r>
      <w:r>
        <w:rPr>
          <w:rFonts w:ascii="Menlo" w:hAnsi="Menlo" w:eastAsia="PingFang SC" w:cs="Menlo"/>
          <w:color w:val="24292E"/>
          <w:sz w:val="14"/>
        </w:rPr>
        <w:br/>
      </w:r>
      <w:r>
        <w:rPr>
          <w:rFonts w:ascii="Menlo" w:hAnsi="Menlo" w:eastAsia="PingFang SC" w:cs="Menlo"/>
          <w:color w:val="24292E"/>
          <w:sz w:val="14"/>
        </w:rPr>
        <w:t>def swap_loss(model, batch, p=0.5):</w:t>
        <w:br/>
      </w:r>
      <w:r>
        <w:rPr>
          <w:rFonts w:ascii="Menlo" w:hAnsi="Menlo" w:eastAsia="PingFang SC" w:cs="Menlo"/>
          <w:color w:val="24292E"/>
          <w:sz w:val="14"/>
        </w:rPr>
        <w:t xml:space="preserve">    """把某笔的某字段替换成别人的片段，判断是否原装"""</w:t>
        <w:br/>
      </w:r>
      <w:r>
        <w:rPr>
          <w:rFonts w:ascii="Menlo" w:hAnsi="Menlo" w:eastAsia="PingFang SC" w:cs="Menlo"/>
          <w:color w:val="24292E"/>
          <w:sz w:val="14"/>
        </w:rPr>
        <w:t xml:space="preserve">    b, labels = swap_fields(batch, p=p)      # labels: 1 = 未被替换</w:t>
        <w:br/>
      </w:r>
      <w:r>
        <w:rPr>
          <w:rFonts w:ascii="Menlo" w:hAnsi="Menlo" w:eastAsia="PingFang SC" w:cs="Menlo"/>
          <w:color w:val="24292E"/>
          <w:sz w:val="14"/>
        </w:rPr>
        <w:t xml:space="preserve">    _, h = model(b)</w:t>
        <w:br/>
      </w:r>
      <w:r>
        <w:rPr>
          <w:rFonts w:ascii="Menlo" w:hAnsi="Menlo" w:eastAsia="PingFang SC" w:cs="Menlo"/>
          <w:color w:val="24292E"/>
          <w:sz w:val="14"/>
        </w:rPr>
        <w:t xml:space="preserve">    logit = model.head_swap(h[:, -1])        # 只看被判定那一步</w:t>
        <w:br/>
      </w:r>
      <w:r>
        <w:rPr>
          <w:rFonts w:ascii="Menlo" w:hAnsi="Menlo" w:eastAsia="PingFang SC" w:cs="Menlo"/>
          <w:color w:val="24292E"/>
          <w:sz w:val="14"/>
        </w:rPr>
        <w:t xml:space="preserve">    return nn.functional.binary_cross_entropy_with_logits(logit.squeeze(-1), labels)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9.5 导出给 GBDT 的特征</w:t>
      </w:r>
    </w:p>
    <w:p>
      <w:pPr>
        <w:pBdr>
          <w:left w:val="single" w:sz="12" w:space="4" w:color="C9D2DA"/>
        </w:pBdr>
        <w:shd w:val="clear" w:color="auto" w:fill="F4F6F8"/>
        <w:spacing w:before="120" w:after="180" w:line="240" w:lineRule="auto"/>
        <w:ind w:left="170" w:right="170"/>
      </w:pPr>
      <w:r>
        <w:rPr>
          <w:rFonts w:ascii="Menlo" w:hAnsi="Menlo" w:eastAsia="PingFang SC" w:cs="Menlo"/>
          <w:color w:val="24292E"/>
          <w:sz w:val="14"/>
        </w:rPr>
        <w:t>@torch.no_grad()</w:t>
        <w:br/>
      </w:r>
      <w:r>
        <w:rPr>
          <w:rFonts w:ascii="Menlo" w:hAnsi="Menlo" w:eastAsia="PingFang SC" w:cs="Menlo"/>
          <w:color w:val="24292E"/>
          <w:sz w:val="14"/>
        </w:rPr>
        <w:t>def export_features(model, batch, merchant_vocab):</w:t>
        <w:br/>
      </w:r>
      <w:r>
        <w:rPr>
          <w:rFonts w:ascii="Menlo" w:hAnsi="Menlo" w:eastAsia="PingFang SC" w:cs="Menlo"/>
          <w:color w:val="24292E"/>
          <w:sz w:val="14"/>
        </w:rPr>
        <w:t xml:space="preserve">    summary, h = model(batch)</w:t>
        <w:br/>
      </w:r>
      <w:r>
        <w:rPr>
          <w:rFonts w:ascii="Menlo" w:hAnsi="Menlo" w:eastAsia="PingFang SC" w:cs="Menlo"/>
          <w:color w:val="24292E"/>
          <w:sz w:val="14"/>
        </w:rPr>
        <w:t xml:space="preserve">    last = h[:, -1]</w:t>
        <w:br/>
      </w:r>
      <w:r>
        <w:rPr>
          <w:rFonts w:ascii="Menlo" w:hAnsi="Menlo" w:eastAsia="PingFang SC" w:cs="Menlo"/>
          <w:color w:val="24292E"/>
          <w:sz w:val="14"/>
        </w:rPr>
        <w:t xml:space="preserve">    logits_m = model.head_merchant(last)                       # [B, V]</w:t>
        <w:br/>
      </w:r>
      <w:r>
        <w:rPr>
          <w:rFonts w:ascii="Menlo" w:hAnsi="Menlo" w:eastAsia="PingFang SC" w:cs="Menlo"/>
          <w:color w:val="24292E"/>
          <w:sz w:val="14"/>
        </w:rPr>
        <w:t xml:space="preserve">    logp = torch.log_softmax(logits_m, dim=-1)</w:t>
        <w:br/>
      </w:r>
      <w:r>
        <w:rPr>
          <w:rFonts w:ascii="Menlo" w:hAnsi="Menlo" w:eastAsia="PingFang SC" w:cs="Menlo"/>
          <w:color w:val="24292E"/>
          <w:sz w:val="14"/>
        </w:rPr>
        <w:br/>
      </w:r>
      <w:r>
        <w:rPr>
          <w:rFonts w:ascii="Menlo" w:hAnsi="Menlo" w:eastAsia="PingFang SC" w:cs="Menlo"/>
          <w:color w:val="24292E"/>
          <w:sz w:val="14"/>
        </w:rPr>
        <w:t xml:space="preserve">    feats = {"seq_embedding": summary.cpu().numpy()}           # 128 维</w:t>
        <w:br/>
      </w:r>
      <w:r>
        <w:rPr>
          <w:rFonts w:ascii="Menlo" w:hAnsi="Menlo" w:eastAsia="PingFang SC" w:cs="Menlo"/>
          <w:color w:val="24292E"/>
          <w:sz w:val="14"/>
        </w:rPr>
        <w:t xml:space="preserve">    # 每个字段的 surprisal = -log p(实际发生)</w:t>
        <w:br/>
      </w:r>
      <w:r>
        <w:rPr>
          <w:rFonts w:ascii="Menlo" w:hAnsi="Menlo" w:eastAsia="PingFang SC" w:cs="Menlo"/>
          <w:color w:val="24292E"/>
          <w:sz w:val="14"/>
        </w:rPr>
        <w:t xml:space="preserve">    for name in ["merchant", "country"]: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idx = batch[f"next_{name}"]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feats[f"surprisal_{name}"] = -logp.gather(1, idx[:, None]).squeeze(1).cpu().numpy()</w:t>
        <w:br/>
      </w:r>
      <w:r>
        <w:rPr>
          <w:rFonts w:ascii="Menlo" w:hAnsi="Menlo" w:eastAsia="PingFang SC" w:cs="Menlo"/>
          <w:color w:val="24292E"/>
          <w:sz w:val="14"/>
        </w:rPr>
        <w:t xml:space="preserve">    # 金额/时间：用预测分布的残差当 surprisal 代理</w:t>
        <w:br/>
      </w:r>
      <w:r>
        <w:rPr>
          <w:rFonts w:ascii="Menlo" w:hAnsi="Menlo" w:eastAsia="PingFang SC" w:cs="Menlo"/>
          <w:color w:val="24292E"/>
          <w:sz w:val="14"/>
        </w:rPr>
        <w:t xml:space="preserve">    pred_amt = model.head_amt(last).squeeze(-1)</w:t>
        <w:br/>
      </w:r>
      <w:r>
        <w:rPr>
          <w:rFonts w:ascii="Menlo" w:hAnsi="Menlo" w:eastAsia="PingFang SC" w:cs="Menlo"/>
          <w:color w:val="24292E"/>
          <w:sz w:val="14"/>
        </w:rPr>
        <w:t xml:space="preserve">    feats["amt_residual"] = (batch["next_log_amount"] - pred_amt).cpu().numpy()</w:t>
        <w:br/>
      </w:r>
      <w:r>
        <w:rPr>
          <w:rFonts w:ascii="Menlo" w:hAnsi="Menlo" w:eastAsia="PingFang SC" w:cs="Menlo"/>
          <w:color w:val="24292E"/>
          <w:sz w:val="14"/>
        </w:rPr>
        <w:t xml:space="preserve">    # swap score：单独头输出，4 个字段各一个</w:t>
        <w:br/>
      </w:r>
      <w:r>
        <w:rPr>
          <w:rFonts w:ascii="Menlo" w:hAnsi="Menlo" w:eastAsia="PingFang SC" w:cs="Menlo"/>
          <w:color w:val="24292E"/>
          <w:sz w:val="14"/>
        </w:rPr>
        <w:t xml:space="preserve">    feats["swap_scores"] = model.head_swap_multi(last).sigmoid().cpu().numpy()</w:t>
        <w:br/>
      </w:r>
      <w:r>
        <w:rPr>
          <w:rFonts w:ascii="Menlo" w:hAnsi="Menlo" w:eastAsia="PingFang SC" w:cs="Menlo"/>
          <w:color w:val="24292E"/>
          <w:sz w:val="14"/>
        </w:rPr>
        <w:t xml:space="preserve">    return feats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9.6 低延迟服务要点</w:t>
      </w:r>
    </w:p>
    <w:p>
      <w:pPr>
        <w:pBdr>
          <w:left w:val="single" w:sz="12" w:space="4" w:color="C9D2DA"/>
        </w:pBdr>
        <w:shd w:val="clear" w:color="auto" w:fill="F4F6F8"/>
        <w:spacing w:before="120" w:after="180" w:line="240" w:lineRule="auto"/>
        <w:ind w:left="170" w:right="170"/>
      </w:pPr>
      <w:r>
        <w:rPr>
          <w:rFonts w:ascii="Menlo" w:hAnsi="Menlo" w:eastAsia="PingFang SC" w:cs="Menlo"/>
          <w:color w:val="24292E"/>
          <w:sz w:val="14"/>
        </w:rPr>
        <w:t># 1) 不 padding：按实际长度逐条组装，或用 length-bucketing</w:t>
        <w:br/>
      </w:r>
      <w:r>
        <w:rPr>
          <w:rFonts w:ascii="Menlo" w:hAnsi="Menlo" w:eastAsia="PingFang SC" w:cs="Menlo"/>
          <w:color w:val="24292E"/>
          <w:sz w:val="14"/>
        </w:rPr>
        <w:t># 2) 线上只算必要头：不要算 47k 维完整 softmax，只取实际商户那一项的 logit</w:t>
        <w:br/>
      </w:r>
      <w:r>
        <w:rPr>
          <w:rFonts w:ascii="Menlo" w:hAnsi="Menlo" w:eastAsia="PingFang SC" w:cs="Menlo"/>
          <w:color w:val="24292E"/>
          <w:sz w:val="14"/>
        </w:rPr>
        <w:t># 3) 大表移出 GC 路径：模块级大 dict/list 改为 numpy 数组或 mmap</w:t>
        <w:br/>
      </w:r>
      <w:r>
        <w:rPr>
          <w:rFonts w:ascii="Menlo" w:hAnsi="Menlo" w:eastAsia="PingFang SC" w:cs="Menlo"/>
          <w:color w:val="24292E"/>
          <w:sz w:val="14"/>
        </w:rPr>
        <w:t># 4) 单进程单线程推理，避免线程池上下文切换</w:t>
        <w:br/>
      </w:r>
      <w:r>
        <w:rPr>
          <w:rFonts w:ascii="Menlo" w:hAnsi="Menlo" w:eastAsia="PingFang SC" w:cs="Menlo"/>
          <w:color w:val="24292E"/>
          <w:sz w:val="14"/>
        </w:rPr>
        <w:t># 5) 预热：启动时跑一次 dummy forward，避免首请求编译/分配开销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性能自查顺序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（照 Ramp 的 profile 结论）：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1.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批内 padding 占比 → 是否小请求陪跑大 batch；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2.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输出层维度 → softmax 是否算满了全词表；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3.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Python 对象扫描 → 是否有大 dict 在模块级；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4.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特征取数 → 是否串行多次 IO；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5.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注意力 → 通常不是瓶颈。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9.7 评估函数</w:t>
      </w:r>
    </w:p>
    <w:p>
      <w:pPr>
        <w:pBdr>
          <w:left w:val="single" w:sz="12" w:space="4" w:color="C9D2DA"/>
        </w:pBdr>
        <w:shd w:val="clear" w:color="auto" w:fill="F4F6F8"/>
        <w:spacing w:before="120" w:after="180" w:line="240" w:lineRule="auto"/>
        <w:ind w:left="170" w:right="170"/>
      </w:pPr>
      <w:r>
        <w:rPr>
          <w:rFonts w:ascii="Menlo" w:hAnsi="Menlo" w:eastAsia="PingFang SC" w:cs="Menlo"/>
          <w:color w:val="24292E"/>
          <w:sz w:val="14"/>
        </w:rPr>
        <w:t>def metrics_at_budget(y_true, y_score, amount, budgets=(0.001, 0.005, 0.01, 0.02)):</w:t>
        <w:br/>
      </w:r>
      <w:r>
        <w:rPr>
          <w:rFonts w:ascii="Menlo" w:hAnsi="Menlo" w:eastAsia="PingFang SC" w:cs="Menlo"/>
          <w:color w:val="24292E"/>
          <w:sz w:val="14"/>
        </w:rPr>
        <w:t xml:space="preserve">    """固定告警预算下的捕获率——线上运营容量固定，这是唯一可比的指标"""</w:t>
        <w:br/>
      </w:r>
      <w:r>
        <w:rPr>
          <w:rFonts w:ascii="Menlo" w:hAnsi="Menlo" w:eastAsia="PingFang SC" w:cs="Menlo"/>
          <w:color w:val="24292E"/>
          <w:sz w:val="14"/>
        </w:rPr>
        <w:t xml:space="preserve">    order = np.argsort(-y_score)</w:t>
        <w:br/>
      </w:r>
      <w:r>
        <w:rPr>
          <w:rFonts w:ascii="Menlo" w:hAnsi="Menlo" w:eastAsia="PingFang SC" w:cs="Menlo"/>
          <w:color w:val="24292E"/>
          <w:sz w:val="14"/>
        </w:rPr>
        <w:t xml:space="preserve">    n = len(y_true)</w:t>
        <w:br/>
      </w:r>
      <w:r>
        <w:rPr>
          <w:rFonts w:ascii="Menlo" w:hAnsi="Menlo" w:eastAsia="PingFang SC" w:cs="Menlo"/>
          <w:color w:val="24292E"/>
          <w:sz w:val="14"/>
        </w:rPr>
        <w:t xml:space="preserve">    out = {}</w:t>
        <w:br/>
      </w:r>
      <w:r>
        <w:rPr>
          <w:rFonts w:ascii="Menlo" w:hAnsi="Menlo" w:eastAsia="PingFang SC" w:cs="Menlo"/>
          <w:color w:val="24292E"/>
          <w:sz w:val="14"/>
        </w:rPr>
        <w:t xml:space="preserve">    for b in budgets: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k = max(1, int(n * b))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idx = order[:k]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out[f"recall@{b:.3%}"] = y_true[idx].sum() / max(1, y_true.sum())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hit = amount[idx][y_true[idx] == 1].sum()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out[f"dollar_recall@{b:.3%}"] = hit / max(1e-9, amount[y_true == 1].sum())</w:t>
        <w:br/>
      </w:r>
      <w:r>
        <w:rPr>
          <w:rFonts w:ascii="Menlo" w:hAnsi="Menlo" w:eastAsia="PingFang SC" w:cs="Menlo"/>
          <w:color w:val="24292E"/>
          <w:sz w:val="14"/>
        </w:rPr>
        <w:t xml:space="preserve">    out["ap"] = average_precision_score(y_true, y_score)</w:t>
        <w:br/>
      </w:r>
      <w:r>
        <w:rPr>
          <w:rFonts w:ascii="Menlo" w:hAnsi="Menlo" w:eastAsia="PingFang SC" w:cs="Menlo"/>
          <w:color w:val="24292E"/>
          <w:sz w:val="14"/>
        </w:rPr>
        <w:t xml:space="preserve">    return out</w:t>
      </w:r>
    </w:p>
    <w:p>
      <w:pPr>
        <w:keepNext/>
        <w:pageBreakBefore/>
        <w:pBdr>
          <w:bottom w:val="single" w:sz="8" w:space="4" w:color="0F2E4C"/>
        </w:pBdr>
        <w:spacing w:before="120" w:after="200"/>
      </w:pPr>
      <w:r>
        <w:rPr>
          <w:rFonts w:ascii="Helvetica Neue" w:hAnsi="Helvetica Neue" w:eastAsia="PingFang SC" w:cs="Helvetica Neue"/>
          <w:b/>
          <w:color w:val="0F2E4C"/>
          <w:sz w:val="34"/>
        </w:rPr>
        <w:t>10. 评估与实验设计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10.1 离线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项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做法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切分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按时间：训练 [T-18m, T-3m)，验证 [T-3m, T-1m)，测试 [T-1m, T)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指标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AP、R@固定预算、金额召回、按金额分层召回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置信区间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Bootstrap 1000 次，报告 95% CI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消融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(a) 仅旧模型 (b) 旧模型 + 金额加权 (c) + 序列特征 (d) 换编码器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稳健性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按商户/国家/新老用户分群，看是否有群体性退化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10.2 在线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方法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用途</w:t>
            </w:r>
          </w:p>
        </w:tc>
        <w:tc>
          <w:tcPr>
            <w:tcW w:type="dxa" w:w="3175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注意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Shadow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双跑比分数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只比分布不够，要比逐笔一致性（Ramp: 80,149 笔逐位一致）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Holdback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保留 1–5% 流量不拦截，观测真实欺诈率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有欺诈成本，需业务签字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反事实估计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被拦交易的真实结果不可观测，用统计方法估计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Stripe 明确说这是生产指标的前提</w:t>
            </w:r>
          </w:p>
        </w:tc>
      </w:tr>
      <w:tr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Interleaved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两模型交替决策，消除时间混淆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适合低风险流量</w:t>
            </w:r>
          </w:p>
        </w:tc>
      </w:tr>
    </w:tbl>
    <w:p>
      <w:pPr>
        <w:spacing w:after="80" w:line="240" w:lineRule="auto"/>
      </w:pP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10.3 一个必须做的实验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"金额加权损失 vs 序列模型"的 2×2 消融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。Ramp 的数据显示，如果不做这个消融，团队会把 29% 的收益错误归因给 Transformer，然后在下一个项目里继续加模型层数——这是最常见的资源错配。</w:t>
      </w:r>
    </w:p>
    <w:p>
      <w:pPr>
        <w:keepNext/>
        <w:pageBreakBefore/>
        <w:pBdr>
          <w:bottom w:val="single" w:sz="8" w:space="4" w:color="0F2E4C"/>
        </w:pBdr>
        <w:spacing w:before="120" w:after="200"/>
      </w:pPr>
      <w:r>
        <w:rPr>
          <w:rFonts w:ascii="Helvetica Neue" w:hAnsi="Helvetica Neue" w:eastAsia="PingFang SC" w:cs="Helvetica Neue"/>
          <w:b/>
          <w:color w:val="0F2E4C"/>
          <w:sz w:val="34"/>
        </w:rPr>
        <w:t>11. 成本与团队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项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小团队（&lt; 千万笔/年）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中型（亿级）</w:t>
            </w:r>
          </w:p>
        </w:tc>
        <w:tc>
          <w:tcPr>
            <w:tcW w:type="dxa" w:w="2381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大型（十亿级）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数据工程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 人 × 2 月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2 人 × 3 月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平台团队常设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建模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 人 × 3 月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2 人 × 4 月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3–5 人常设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训练算力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 张消费级 GPU 足够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4×A10/L40S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多机多卡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推理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CPU，单实例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CPU 集群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CPU 集群 + 分级缓存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年化云成本（估）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$5k–20k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$100k–300k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$1M+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预期收益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若欺诈损失 $1M/年，改善 10% ≈ $100k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显著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显著</w:t>
            </w:r>
          </w:p>
        </w:tc>
      </w:tr>
    </w:tbl>
    <w:p>
      <w:pPr>
        <w:spacing w:after="80" w:line="240" w:lineRule="auto"/>
      </w:pPr>
    </w:p>
    <w:p>
      <w:pPr>
        <w:pBdr>
          <w:left w:val="single" w:sz="12" w:space="4" w:color="B45F06"/>
        </w:pBdr>
        <w:spacing w:before="80" w:after="160" w:line="348" w:lineRule="auto"/>
        <w:ind w:left="397"/>
      </w:pPr>
      <w:r>
        <w:rPr>
          <w:rFonts w:ascii="Helvetica Neue" w:hAnsi="Helvetica Neue" w:eastAsia="PingFang SC" w:cs="Helvetica Neue"/>
          <w:b w:val="0"/>
          <w:i/>
          <w:color w:val="3A3A3A"/>
          <w:sz w:val="20"/>
        </w:rPr>
        <w:t>成本估算为量级参考，随云厂商与架构差异很大。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最小可行团队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：1 名懂序列建模的算法 + 1 名懂流式特征的数据工程师 + 0.5 名风控策略（定义标签与告警预算）。</w:t>
      </w:r>
      <w:r>
        <w:rPr>
          <w:rFonts w:ascii="Helvetica Neue" w:hAnsi="Helvetica Neue" w:eastAsia="PingFang SC" w:cs="Helvetica Neue"/>
          <w:b/>
          <w:color w:val="1A1A1A"/>
          <w:sz w:val="21"/>
        </w:rPr>
        <w:t>缺了策略角色，模型指标会好看但业务无感。</w:t>
      </w:r>
    </w:p>
    <w:p>
      <w:pPr>
        <w:keepNext/>
        <w:pageBreakBefore/>
        <w:pBdr>
          <w:bottom w:val="single" w:sz="8" w:space="4" w:color="0F2E4C"/>
        </w:pBdr>
        <w:spacing w:before="120" w:after="200"/>
      </w:pPr>
      <w:r>
        <w:rPr>
          <w:rFonts w:ascii="Helvetica Neue" w:hAnsi="Helvetica Neue" w:eastAsia="PingFang SC" w:cs="Helvetica Neue"/>
          <w:b/>
          <w:color w:val="0F2E4C"/>
          <w:sz w:val="34"/>
        </w:rPr>
        <w:t>12. 决策树：你该不该做</w:t>
      </w:r>
    </w:p>
    <w:p>
      <w:pPr>
        <w:pBdr>
          <w:left w:val="single" w:sz="12" w:space="4" w:color="C9D2DA"/>
        </w:pBdr>
        <w:shd w:val="clear" w:color="auto" w:fill="F4F6F8"/>
        <w:spacing w:before="120" w:after="180" w:line="240" w:lineRule="auto"/>
        <w:ind w:left="170" w:right="170"/>
      </w:pPr>
      <w:r>
        <w:rPr>
          <w:rFonts w:ascii="Menlo" w:hAnsi="Menlo" w:eastAsia="PingFang SC" w:cs="Menlo"/>
          <w:color w:val="24292E"/>
          <w:sz w:val="14"/>
        </w:rPr>
        <w:t>你的欺诈损失规模？</w:t>
        <w:br/>
      </w:r>
      <w:r>
        <w:rPr>
          <w:rFonts w:ascii="Menlo" w:hAnsi="Menlo" w:eastAsia="PingFang SC" w:cs="Menlo"/>
          <w:color w:val="24292E"/>
          <w:sz w:val="14"/>
        </w:rPr>
        <w:t>├─ &lt; $500k/年</w:t>
        <w:br/>
      </w:r>
      <w:r>
        <w:rPr>
          <w:rFonts w:ascii="Menlo" w:hAnsi="Menlo" w:eastAsia="PingFang SC" w:cs="Menlo"/>
          <w:color w:val="24292E"/>
          <w:sz w:val="14"/>
        </w:rPr>
        <w:t>│   └─ 不值得。用规则 + 现成厂商（Stripe Radar / Mastercard DI / Featurespace）</w:t>
        <w:br/>
      </w:r>
      <w:r>
        <w:rPr>
          <w:rFonts w:ascii="Menlo" w:hAnsi="Menlo" w:eastAsia="PingFang SC" w:cs="Menlo"/>
          <w:color w:val="24292E"/>
          <w:sz w:val="14"/>
        </w:rPr>
        <w:t>│</w:t>
        <w:br/>
      </w:r>
      <w:r>
        <w:rPr>
          <w:rFonts w:ascii="Menlo" w:hAnsi="Menlo" w:eastAsia="PingFang SC" w:cs="Menlo"/>
          <w:color w:val="24292E"/>
          <w:sz w:val="14"/>
        </w:rPr>
        <w:t>├─ $500k – $5M/年</w:t>
        <w:br/>
      </w:r>
      <w:r>
        <w:rPr>
          <w:rFonts w:ascii="Menlo" w:hAnsi="Menlo" w:eastAsia="PingFang SC" w:cs="Menlo"/>
          <w:color w:val="24292E"/>
          <w:sz w:val="14"/>
        </w:rPr>
        <w:t>│   ├─ 已有 GBDT + 窗口特征？</w:t>
        <w:br/>
      </w:r>
      <w:r>
        <w:rPr>
          <w:rFonts w:ascii="Menlo" w:hAnsi="Menlo" w:eastAsia="PingFang SC" w:cs="Menlo"/>
          <w:color w:val="24292E"/>
          <w:sz w:val="14"/>
        </w:rPr>
        <w:t>│   │   ├─ 是 → 走 Phase 0，先加"简单序列特征"，有增量再上编码器</w:t>
        <w:br/>
      </w:r>
      <w:r>
        <w:rPr>
          <w:rFonts w:ascii="Menlo" w:hAnsi="Menlo" w:eastAsia="PingFang SC" w:cs="Menlo"/>
          <w:color w:val="24292E"/>
          <w:sz w:val="14"/>
        </w:rPr>
        <w:t>│   │   └─ 否 → 先做 GBDT 基线。不要跳步</w:t>
        <w:br/>
      </w:r>
      <w:r>
        <w:rPr>
          <w:rFonts w:ascii="Menlo" w:hAnsi="Menlo" w:eastAsia="PingFang SC" w:cs="Menlo"/>
          <w:color w:val="24292E"/>
          <w:sz w:val="14"/>
        </w:rPr>
        <w:t>│   └─ 数据量 &lt; 千万笔 → 用 CNN/GRU，不要 Transformer</w:t>
        <w:br/>
      </w:r>
      <w:r>
        <w:rPr>
          <w:rFonts w:ascii="Menlo" w:hAnsi="Menlo" w:eastAsia="PingFang SC" w:cs="Menlo"/>
          <w:color w:val="24292E"/>
          <w:sz w:val="14"/>
        </w:rPr>
        <w:t>│</w:t>
        <w:br/>
      </w:r>
      <w:r>
        <w:rPr>
          <w:rFonts w:ascii="Menlo" w:hAnsi="Menlo" w:eastAsia="PingFang SC" w:cs="Menlo"/>
          <w:color w:val="24292E"/>
          <w:sz w:val="14"/>
        </w:rPr>
        <w:t>└─ &gt; $5M/年</w:t>
        <w:br/>
      </w:r>
      <w:r>
        <w:rPr>
          <w:rFonts w:ascii="Menlo" w:hAnsi="Menlo" w:eastAsia="PingFang SC" w:cs="Menlo"/>
          <w:color w:val="24292E"/>
          <w:sz w:val="14"/>
        </w:rPr>
        <w:t xml:space="preserve">    ├─ 有特征平台 + 流式基建？</w:t>
        <w:br/>
      </w:r>
      <w:r>
        <w:rPr>
          <w:rFonts w:ascii="Menlo" w:hAnsi="Menlo" w:eastAsia="PingFang SC" w:cs="Menlo"/>
          <w:color w:val="24292E"/>
          <w:sz w:val="14"/>
        </w:rPr>
        <w:t xml:space="preserve">    │   ├─ 是 → 走完整路线（Phase 0–5），预期收益 10–30% 金额捕获</w:t>
        <w:br/>
      </w:r>
      <w:r>
        <w:rPr>
          <w:rFonts w:ascii="Menlo" w:hAnsi="Menlo" w:eastAsia="PingFang SC" w:cs="Menlo"/>
          <w:color w:val="24292E"/>
          <w:sz w:val="14"/>
        </w:rPr>
        <w:t xml:space="preserve">    │   └─ 否 → 先建平台。序列模型会放大数据问题</w:t>
        <w:br/>
      </w:r>
      <w:r>
        <w:rPr>
          <w:rFonts w:ascii="Menlo" w:hAnsi="Menlo" w:eastAsia="PingFang SC" w:cs="Menlo"/>
          <w:color w:val="24292E"/>
          <w:sz w:val="14"/>
        </w:rPr>
        <w:t xml:space="preserve">    └─ 有合规解释要求？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├─ 是 → 必须保留 GBDT 决策层 + 标量输出（surprisal/swap）</w:t>
        <w:br/>
      </w:r>
      <w:r>
        <w:rPr>
          <w:rFonts w:ascii="Menlo" w:hAnsi="Menlo" w:eastAsia="PingFang SC" w:cs="Menlo"/>
          <w:color w:val="24292E"/>
          <w:sz w:val="14"/>
        </w:rPr>
        <w:t xml:space="preserve">        └─ 否 → 可探索端到端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一句话判断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：如果你不能用一句话说清"序列模型比窗口特征多看到了什么"，就不要做。</w:t>
      </w:r>
    </w:p>
    <w:p>
      <w:pPr>
        <w:keepNext/>
        <w:pageBreakBefore/>
        <w:pBdr>
          <w:bottom w:val="single" w:sz="8" w:space="4" w:color="0F2E4C"/>
        </w:pBdr>
        <w:spacing w:before="120" w:after="200"/>
      </w:pPr>
      <w:r>
        <w:rPr>
          <w:rFonts w:ascii="Helvetica Neue" w:hAnsi="Helvetica Neue" w:eastAsia="PingFang SC" w:cs="Helvetica Neue"/>
          <w:b/>
          <w:color w:val="0F2E4C"/>
          <w:sz w:val="34"/>
        </w:rPr>
        <w:t>13. 参考文献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13.1 工程实践（一手来源）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1.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 xml:space="preserve">Temple, D., Miller, S. </w:t>
      </w:r>
      <w:r>
        <w:rPr>
          <w:rFonts w:ascii="Helvetica Neue" w:hAnsi="Helvetica Neue" w:eastAsia="PingFang SC" w:cs="Helvetica Neue"/>
          <w:b w:val="0"/>
          <w:i/>
          <w:color w:val="1A1A1A"/>
          <w:sz w:val="21"/>
        </w:rPr>
        <w:t>Putting a Transformer Inside Every Card Authorization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. Ramp Builders Blog, 2026-10-08. https://builders.ramp.com/post/sequence-aware-card-fraud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2.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 xml:space="preserve">Stripe. </w:t>
      </w:r>
      <w:r>
        <w:rPr>
          <w:rFonts w:ascii="Helvetica Neue" w:hAnsi="Helvetica Neue" w:eastAsia="PingFang SC" w:cs="Helvetica Neue"/>
          <w:b w:val="0"/>
          <w:i/>
          <w:color w:val="1A1A1A"/>
          <w:sz w:val="21"/>
        </w:rPr>
        <w:t>Radar Technical Guide: A primer on machine learning for fraud detection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. 2021-12-15. https://stripe.com/radar/guide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3.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 xml:space="preserve">Mastercard. </w:t>
      </w:r>
      <w:r>
        <w:rPr>
          <w:rFonts w:ascii="Helvetica Neue" w:hAnsi="Helvetica Neue" w:eastAsia="PingFang SC" w:cs="Helvetica Neue"/>
          <w:b w:val="0"/>
          <w:i/>
          <w:color w:val="1A1A1A"/>
          <w:sz w:val="21"/>
        </w:rPr>
        <w:t>Risk Decisioning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（Decision Intelligence Pro：平均 +20%，125ms）. https://www.mastercard.com/us/en/business/cybersecurity-fraud-prevention/risk-decisioning.html</w:t>
      </w:r>
    </w:p>
    <w:p>
      <w:pPr>
        <w:spacing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4.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 xml:space="preserve">Featurespace. </w:t>
      </w:r>
      <w:r>
        <w:rPr>
          <w:rFonts w:ascii="Helvetica Neue" w:hAnsi="Helvetica Neue" w:eastAsia="PingFang SC" w:cs="Helvetica Neue"/>
          <w:b w:val="0"/>
          <w:i/>
          <w:color w:val="1A1A1A"/>
          <w:sz w:val="21"/>
        </w:rPr>
        <w:t>ARIC Platform / Adaptive Behavioral Analytics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. https://www.featurespace.com</w:t>
      </w:r>
    </w:p>
    <w:p>
      <w:pPr>
        <w:keepNext/>
        <w:spacing w:before="320" w:after="120"/>
      </w:pPr>
      <w:r>
        <w:rPr>
          <w:rFonts w:ascii="Helvetica Neue" w:hAnsi="Helvetica Neue" w:eastAsia="PingFang SC" w:cs="Helvetica Neue"/>
          <w:b/>
          <w:color w:val="1B4F72"/>
          <w:sz w:val="26"/>
        </w:rPr>
        <w:t>13.2 核心论文（按主题）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序列 RNN / 综述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2002.05988 — Interleaved Sequence RNNs for Fraud Detection（Feedzai, KDD'20 Industry）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1711.01434 — GRU-centered Sandwich-structured Model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1905.06247 — Multiple perspectives HMM-based feature engineering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2010.06479 — Credit card fraud detection using ML: A survey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表格 / 交易 Transformer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2011.01843 — Tabular Transformers (TabFormer)，IBM，ICASSP'21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大规模自监督预训练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2312.14406 — Generative Pretraining at Scale（腾讯 / 微信支付）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2401.01641 — Towards a Foundation Purchasing Model（Featurespace, ICAIF'23）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2511.19693 — TREASURE: The Visa Payment Foundation Model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时间感知 / 异构事件 Transformer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2509.23712 — FraudTransformer: Time-Aware GPT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2606.21356 — SOHET（Booking.com）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2605.21490 — Temporal Contrastive Transformer（NICE Actimize，负结果）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2606.25007 — Multi-Stream Temporal Fusion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点过程 / 连续时间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2002.09291 — Transformer Hawkes Process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2302.06247 — COTIC: Continuous-time convolutions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2412.19634 — S2P2: Continuous-Time State-Space Models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2401.03246 — SeqNAS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序列 + 图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2510.25126 — BRIDGE: End-to-End Sequence-Graph Learning（Capital One）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2307.05121 — STA-GT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2609.07100 — THGT-FD（负结果）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2408.00513 — VecAug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架构源头（推荐系统）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1808.09781 — SASRec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1904.06690 — BERT4Rec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1706.06978 — DIN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1905.06874 — BST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2006.05639 — SIM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可解释性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2012.00073 — TimeSHAP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2101.04285 — FinDeepBehaviorCluster（AAAI'21 KDF）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方法论批判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2506.02703 — Data Leakage and Deceptive Performance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2207.08815 — Why do tree-based models still outperform deep learning on tabular data?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2411.19457 — Multi-task CNN Behavioral Embedding（ICDMW'24）</w:t>
      </w:r>
    </w:p>
    <w:p>
      <w:pPr>
        <w:spacing w:before="0" w:after="140" w:line="372" w:lineRule="auto"/>
        <w:ind w:firstLine="0"/>
      </w:pPr>
      <w:r>
        <w:rPr>
          <w:rFonts w:ascii="Helvetica Neue" w:hAnsi="Helvetica Neue" w:eastAsia="PingFang SC" w:cs="Helvetica Neue"/>
          <w:b/>
          <w:color w:val="1A1A1A"/>
          <w:sz w:val="21"/>
        </w:rPr>
        <w:t>其他场景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1910.03072 — Sequence embeddings for healthcare insurance fraud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2007.10098 — Unsupervised anomaly detection for discrete sequence healthcare data</w:t>
      </w:r>
    </w:p>
    <w:p>
      <w:pPr>
        <w:spacing w:before="0" w:after="80" w:line="348" w:lineRule="auto"/>
        <w:ind w:left="351" w:hanging="238"/>
      </w:pPr>
      <w:r>
        <w:rPr>
          <w:rFonts w:ascii="Helvetica Neue" w:hAnsi="Helvetica Neue" w:eastAsia="PingFang SC" w:cs="Helvetica Neue"/>
          <w:b/>
          <w:color w:val="1B4F72"/>
          <w:sz w:val="21"/>
        </w:rPr>
        <w:t xml:space="preserve">• </w:t>
      </w:r>
      <w:r>
        <w:rPr>
          <w:rFonts w:ascii="Helvetica Neue" w:hAnsi="Helvetica Neue" w:eastAsia="PingFang SC" w:cs="Helvetica Neue"/>
          <w:b w:val="0"/>
          <w:color w:val="1A1A1A"/>
          <w:sz w:val="21"/>
        </w:rPr>
        <w:t>2409.07494 / 2509.03939 — 链上交易语言模型 + 图</w:t>
      </w:r>
    </w:p>
    <w:p>
      <w:pPr>
        <w:keepNext/>
        <w:pageBreakBefore/>
        <w:pBdr>
          <w:bottom w:val="single" w:sz="8" w:space="4" w:color="0F2E4C"/>
        </w:pBdr>
        <w:spacing w:before="120" w:after="200"/>
      </w:pPr>
      <w:r>
        <w:rPr>
          <w:rFonts w:ascii="Helvetica Neue" w:hAnsi="Helvetica Neue" w:eastAsia="PingFang SC" w:cs="Helvetica Neue"/>
          <w:b/>
          <w:color w:val="0F2E4C"/>
          <w:sz w:val="34"/>
        </w:rPr>
        <w:t>附录 A：Ramp 关键数字速查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项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数值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模型层数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3 层注意力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商户词表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约 47,000 token（含约 200 万商户哈希）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权重集中度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&gt;80% 在商户 embedding + 下一商户预测层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预训练数据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2 年交易，无欺诈标签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预训练成本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&lt;1.5 小时 / 4×L40S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XGBoost 训练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 小时特征 + 3 小时训练（Ray），负样本不采样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欺诈金额提升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+32%（同告警预算）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AP 提升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+12%（vs 同损失 XGBoost）/ +14%（vs 旧模型）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≥$1,000 段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+34%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首笔欺诈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+40%（vs 旧模型）/ +9%（vs 同损失，半预算）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SHAP 占比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15%（embedding 8 + surprisal 5 + swap 2）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延迟（修复后）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中位 54ms / p99 84ms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分数一致性验证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80,149 笔逐位一致</w:t>
            </w:r>
          </w:p>
        </w:tc>
      </w:tr>
    </w:tbl>
    <w:p>
      <w:pPr>
        <w:spacing w:after="80" w:line="240" w:lineRule="auto"/>
      </w:pPr>
    </w:p>
    <w:p>
      <w:pPr>
        <w:keepNext/>
        <w:pageBreakBefore/>
        <w:pBdr>
          <w:bottom w:val="single" w:sz="8" w:space="4" w:color="0F2E4C"/>
        </w:pBdr>
        <w:spacing w:before="120" w:after="200"/>
      </w:pPr>
      <w:r>
        <w:rPr>
          <w:rFonts w:ascii="Helvetica Neue" w:hAnsi="Helvetica Neue" w:eastAsia="PingFang SC" w:cs="Helvetica Neue"/>
          <w:b/>
          <w:color w:val="0F2E4C"/>
          <w:sz w:val="34"/>
        </w:rPr>
        <w:t>附录 B：术语表</w:t>
      </w:r>
    </w:p>
    <w:tbl>
      <w:tblPr>
        <w:tblStyle w:val="TableGrid"/>
        <w:tblW w:type="auto" w:w="0"/>
        <w:tblW w:type="pct" w:w="5000"/>
        <w:jc w:val="center"/>
        <w:tblBorders>
          <w:top w:val="single" w:sz="4" w:space="0" w:color="D3DAE1"/>
          <w:left w:val="single" w:sz="4" w:space="0" w:color="D3DAE1"/>
          <w:bottom w:val="single" w:sz="4" w:space="0" w:color="D3DAE1"/>
          <w:right w:val="single" w:sz="4" w:space="0" w:color="D3DAE1"/>
          <w:insideH w:val="single" w:sz="4" w:space="0" w:color="D3DAE1"/>
          <w:insideV w:val="single" w:sz="4" w:space="0" w:color="D3DAE1"/>
        </w:tblBorders>
        <w:tblLayout w:type="autofit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术语</w:t>
            </w:r>
          </w:p>
        </w:tc>
        <w:tc>
          <w:tcPr>
            <w:tcW w:type="dxa" w:w="4762"/>
            <w:shd w:val="clear" w:color="auto" w:fill="E8EEF3"/>
          </w:tcPr>
          <w:p>
            <w:pPr>
              <w:spacing w:before="40" w:after="40" w:line="307" w:lineRule="auto"/>
            </w:pPr>
            <w:r>
              <w:rPr>
                <w:b/>
              </w:rPr>
            </w:r>
            <w:r>
              <w:rPr>
                <w:rFonts w:ascii="Helvetica Neue" w:hAnsi="Helvetica Neue" w:eastAsia="PingFang SC" w:cs="Helvetica Neue"/>
                <w:b/>
                <w:color w:val="0F2E4C"/>
                <w:sz w:val="17"/>
              </w:rPr>
              <w:t>含义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Surprisal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−log p(实际发生的事件)，衡量"以历史看这有多反常"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Swap score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模型判断"这笔交易的某个字段是否来自别人"的概率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AP / PR-AUC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平均精度，不平衡数据下的排序质量指标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Fixed flag budget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固定告警数量下比较捕获率，模拟真实运营容量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Point-in-time correctness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特征只能使用决策时刻之前且已到达系统的数据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Selective labels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只有被干预（拦截/调查）的样本才有标签，导致反馈回路偏差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Concept drift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数据分布随时间变化，欺诈场景中由用户习惯与攻击者适应共同驱动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Interleaved sequence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多主体序列交错训练，每个主体的历史是不定长子序列</w:t>
            </w:r>
          </w:p>
        </w:tc>
      </w:tr>
      <w:tr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/>
                <w:color w:val="1A1A1A"/>
                <w:sz w:val="17"/>
              </w:rPr>
              <w:t>Token explosion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40" w:after="40" w:line="307" w:lineRule="auto"/>
            </w:pPr>
            <w:r/>
            <w:r>
              <w:rPr>
                <w:rFonts w:ascii="Helvetica Neue" w:hAnsi="Helvetica Neue" w:eastAsia="PingFang SC" w:cs="Helvetica Neue"/>
                <w:b w:val="0"/>
                <w:color w:val="1A1A1A"/>
                <w:sz w:val="17"/>
              </w:rPr>
              <w:t>高基数类别（商户/设备）导致词表爆炸，需哈希或分层兜底</w:t>
            </w:r>
          </w:p>
        </w:tc>
      </w:tr>
    </w:tbl>
    <w:p>
      <w:pPr>
        <w:spacing w:after="80" w:line="240" w:lineRule="auto"/>
      </w:pPr>
    </w:p>
    <w:sectPr w:rsidR="00FC693F" w:rsidRPr="0006063C" w:rsidSect="00034616">
      <w:footerReference w:type="default" r:id="rId9"/>
      <w:pgSz w:w="11906" w:h="16838"/>
      <w:pgMar w:top="1247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 w:eastAsia="PingFang SC" w:cs="Helvetica Neue"/>
        <w:color w:val="5F6B76"/>
        <w:sz w:val="16"/>
      </w:rPr>
      <w:fldChar w:fldCharType="begin"/>
    </w:r>
    <w:r>
      <w:rPr>
        <w:rFonts w:ascii="Helvetica Neue" w:hAnsi="Helvetica Neue" w:eastAsia="PingFang SC" w:cs="Helvetica Neue"/>
        <w:color w:val="5F6B76"/>
        <w:sz w:val="16"/>
      </w:rPr>
      <w:instrText xml:space="preserve"> PAGE </w:instrText>
    </w:r>
    <w:r>
      <w:rPr>
        <w:rFonts w:ascii="Helvetica Neue" w:hAnsi="Helvetica Neue" w:eastAsia="PingFang SC" w:cs="Helvetica Neue"/>
        <w:color w:val="5F6B76"/>
        <w:sz w:val="16"/>
      </w:rPr>
      <w:fldChar w:fldCharType="separate"/>
    </w:r>
    <w:r>
      <w:rPr>
        <w:rFonts w:ascii="Helvetica Neue" w:hAnsi="Helvetica Neue" w:eastAsia="PingFang SC" w:cs="Helvetica Neue"/>
        <w:color w:val="5F6B76"/>
        <w:sz w:val="16"/>
      </w:rPr>
      <w:t>1</w:t>
    </w:r>
    <w:r>
      <w:rPr>
        <w:rFonts w:ascii="Helvetica Neue" w:hAnsi="Helvetica Neue" w:eastAsia="PingFang SC" w:cs="Helvetica Neue"/>
        <w:color w:val="5F6B76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