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52"/>
          <w:szCs w:val="52"/>
        </w:rPr>
        <w:t xml:space="preserve">Social Media Campaign Analytics</w:t>
      </w:r>
    </w:p>
    <w:p>
      <w:pPr>
        <w:spacing w:before="0" w:after="80"/>
      </w:pPr>
      <w:r>
        <w:rPr>
          <w:rFonts w:ascii="Arial" w:cs="Arial" w:eastAsia="Arial" w:hAnsi="Arial"/>
          <w:b/>
          <w:bCs/>
          <w:color w:val="2E75B6"/>
          <w:sz w:val="28"/>
          <w:szCs w:val="28"/>
        </w:rPr>
        <w:t xml:space="preserve">MetricFlow — Cross-Platform Ad Performance Intelligence</w:t>
      </w:r>
    </w:p>
    <w:p>
      <w:pPr>
        <w:spacing w:before="0" w:after="240"/>
      </w:pPr>
      <w:r>
        <w:rPr>
          <w:rFonts w:ascii="Arial" w:cs="Arial" w:eastAsia="Arial" w:hAnsi="Arial"/>
          <w:i/>
          <w:iCs/>
          <w:color w:val="555555"/>
          <w:sz w:val="22"/>
          <w:szCs w:val="22"/>
        </w:rPr>
        <w:t xml:space="preserve">CTR · ROAS · ROI · A/B Testing · KMeans Segmentation · Power BI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Author</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Ashutosh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GitHub</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github.com/Ashutosh-AIBOT/social-media-campaign-analytics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Dataset</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kaggle.com/datasets/manishabhatt22/marketing-campaign-performance-dataset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Stack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Python, Pandas, Scikit-learn, Statsmodels, Power BI, Seaborn, Matplotlib</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Platforms covered</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Facebook, Instagram, Google, LinkedIn, Twitter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Complete</w:t>
            </w:r>
          </w:p>
        </w:tc>
      </w:tr>
    </w:tbl>
    <w:p>
      <w:pPr>
        <w:spacing w:before="40" w:after="4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1. Project Overview</w:t>
      </w:r>
    </w:p>
    <w:p>
      <w:pPr>
        <w:spacing w:before="80" w:after="120"/>
      </w:pPr>
      <w:r>
        <w:rPr>
          <w:rFonts w:ascii="Arial" w:cs="Arial" w:eastAsia="Arial" w:hAnsi="Arial"/>
          <w:color w:val="1F1F1F"/>
          <w:sz w:val="22"/>
          <w:szCs w:val="22"/>
        </w:rPr>
        <w:t xml:space="preserve">This project is a full cross-platform marketing analytics pipeline. The idea was simple — most companies run ads on multiple platforms at once but end up analyzing each one separately in its own dashboard. This project brings all five platforms into one framework so you can compare CTR, ROAS, and ROI side by side without jumping between tools.</w:t>
      </w:r>
    </w:p>
    <w:p>
      <w:pPr>
        <w:spacing w:before="80" w:after="120"/>
      </w:pPr>
      <w:r>
        <w:rPr>
          <w:rFonts w:ascii="Arial" w:cs="Arial" w:eastAsia="Arial" w:hAnsi="Arial"/>
          <w:color w:val="1F1F1F"/>
          <w:sz w:val="22"/>
          <w:szCs w:val="22"/>
        </w:rPr>
        <w:t xml:space="preserve">Beyond basic comparisons, the project includes an A/B testing module for evaluating ad creative performance, a KMeans segmentation that groups campaigns into action-ready clusters, and an attribution model that compares first-touch vs last-touch revenue credit across channels.</w:t>
      </w:r>
    </w:p>
    <w:p>
      <w:pPr>
        <w:spacing w:before="80" w:after="120"/>
      </w:pPr>
      <w:r>
        <w:rPr>
          <w:rFonts w:ascii="Arial" w:cs="Arial" w:eastAsia="Arial" w:hAnsi="Arial"/>
          <w:color w:val="1F1F1F"/>
          <w:sz w:val="22"/>
          <w:szCs w:val="22"/>
        </w:rPr>
        <w:t xml:space="preserve">The final output is an executive Power BI dashboard that a marketing manager can use to make budget allocation decisions without touching a spreadsheet.</w:t>
      </w:r>
    </w:p>
    <w:p>
      <w:pPr>
        <w:spacing w:before="40" w:after="40"/>
      </w:pPr>
    </w:p>
    <w:p>
      <w:pPr>
        <w:pStyle w:val="Heading2"/>
        <w:spacing w:before="240" w:after="120"/>
      </w:pPr>
      <w:r>
        <w:rPr>
          <w:rFonts w:ascii="Arial" w:cs="Arial" w:eastAsia="Arial" w:hAnsi="Arial"/>
          <w:b/>
          <w:bCs/>
          <w:color w:val="2E75B6"/>
          <w:sz w:val="24"/>
          <w:szCs w:val="24"/>
        </w:rPr>
        <w:t xml:space="preserve">What the project covers</w:t>
      </w:r>
    </w:p>
    <w:p>
      <w:pPr>
        <w:pStyle w:val="ListParagraph"/>
        <w:numPr>
          <w:ilvl w:val="0"/>
          <w:numId w:val="2"/>
        </w:numPr>
        <w:spacing w:before="40" w:after="40"/>
      </w:pPr>
      <w:r>
        <w:rPr>
          <w:rFonts w:ascii="Arial" w:cs="Arial" w:eastAsia="Arial" w:hAnsi="Arial"/>
          <w:b w:val="false"/>
          <w:bCs w:val="false"/>
          <w:color w:val="1F1F1F"/>
          <w:sz w:val="22"/>
          <w:szCs w:val="22"/>
        </w:rPr>
        <w:t xml:space="preserve">Full exploratory analysis on campaign performance across 5 platforms</w:t>
      </w:r>
    </w:p>
    <w:p>
      <w:pPr>
        <w:pStyle w:val="ListParagraph"/>
        <w:numPr>
          <w:ilvl w:val="0"/>
          <w:numId w:val="2"/>
        </w:numPr>
        <w:spacing w:before="40" w:after="40"/>
      </w:pPr>
      <w:r>
        <w:rPr>
          <w:rFonts w:ascii="Arial" w:cs="Arial" w:eastAsia="Arial" w:hAnsi="Arial"/>
          <w:b w:val="false"/>
          <w:bCs w:val="false"/>
          <w:color w:val="1F1F1F"/>
          <w:sz w:val="22"/>
          <w:szCs w:val="22"/>
        </w:rPr>
        <w:t xml:space="preserve">CTR, ROAS, ROI, CPC, CPM analysis per platform and campaign type</w:t>
      </w:r>
    </w:p>
    <w:p>
      <w:pPr>
        <w:pStyle w:val="ListParagraph"/>
        <w:numPr>
          <w:ilvl w:val="0"/>
          <w:numId w:val="2"/>
        </w:numPr>
        <w:spacing w:before="40" w:after="40"/>
      </w:pPr>
      <w:r>
        <w:rPr>
          <w:rFonts w:ascii="Arial" w:cs="Arial" w:eastAsia="Arial" w:hAnsi="Arial"/>
          <w:b w:val="false"/>
          <w:bCs w:val="false"/>
          <w:color w:val="1F1F1F"/>
          <w:sz w:val="22"/>
          <w:szCs w:val="22"/>
        </w:rPr>
        <w:t xml:space="preserve">A/B testing with two-sample t-tests and statistical significance flags</w:t>
      </w:r>
    </w:p>
    <w:p>
      <w:pPr>
        <w:pStyle w:val="ListParagraph"/>
        <w:numPr>
          <w:ilvl w:val="0"/>
          <w:numId w:val="2"/>
        </w:numPr>
        <w:spacing w:before="40" w:after="40"/>
      </w:pPr>
      <w:r>
        <w:rPr>
          <w:rFonts w:ascii="Arial" w:cs="Arial" w:eastAsia="Arial" w:hAnsi="Arial"/>
          <w:b w:val="false"/>
          <w:bCs w:val="false"/>
          <w:color w:val="1F1F1F"/>
          <w:sz w:val="22"/>
          <w:szCs w:val="22"/>
        </w:rPr>
        <w:t xml:space="preserve">KMeans audience segmentation — 3 clusters with clear action labels</w:t>
      </w:r>
    </w:p>
    <w:p>
      <w:pPr>
        <w:pStyle w:val="ListParagraph"/>
        <w:numPr>
          <w:ilvl w:val="0"/>
          <w:numId w:val="2"/>
        </w:numPr>
        <w:spacing w:before="40" w:after="40"/>
      </w:pPr>
      <w:r>
        <w:rPr>
          <w:rFonts w:ascii="Arial" w:cs="Arial" w:eastAsia="Arial" w:hAnsi="Arial"/>
          <w:b w:val="false"/>
          <w:bCs w:val="false"/>
          <w:color w:val="1F1F1F"/>
          <w:sz w:val="22"/>
          <w:szCs w:val="22"/>
        </w:rPr>
        <w:t xml:space="preserve">Cross-channel attribution — first-touch vs last-touch comparison</w:t>
      </w:r>
    </w:p>
    <w:p>
      <w:pPr>
        <w:pStyle w:val="ListParagraph"/>
        <w:numPr>
          <w:ilvl w:val="0"/>
          <w:numId w:val="2"/>
        </w:numPr>
        <w:spacing w:before="40" w:after="40"/>
      </w:pPr>
      <w:r>
        <w:rPr>
          <w:rFonts w:ascii="Arial" w:cs="Arial" w:eastAsia="Arial" w:hAnsi="Arial"/>
          <w:b w:val="false"/>
          <w:bCs w:val="false"/>
          <w:color w:val="1F1F1F"/>
          <w:sz w:val="22"/>
          <w:szCs w:val="22"/>
        </w:rPr>
        <w:t xml:space="preserve">CTR prediction model using logistic regression and feature importance</w:t>
      </w:r>
    </w:p>
    <w:p>
      <w:pPr>
        <w:pStyle w:val="ListParagraph"/>
        <w:numPr>
          <w:ilvl w:val="0"/>
          <w:numId w:val="2"/>
        </w:numPr>
        <w:spacing w:before="40" w:after="40"/>
      </w:pPr>
      <w:r>
        <w:rPr>
          <w:rFonts w:ascii="Arial" w:cs="Arial" w:eastAsia="Arial" w:hAnsi="Arial"/>
          <w:b w:val="false"/>
          <w:bCs w:val="false"/>
          <w:color w:val="1F1F1F"/>
          <w:sz w:val="22"/>
          <w:szCs w:val="22"/>
        </w:rPr>
        <w:t xml:space="preserve">Power BI executive dashboard with DAX measures and interactive slicers</w:t>
      </w:r>
    </w:p>
    <w:p>
      <w:pPr>
        <w:pStyle w:val="ListParagraph"/>
        <w:numPr>
          <w:ilvl w:val="0"/>
          <w:numId w:val="2"/>
        </w:numPr>
        <w:spacing w:before="40" w:after="40"/>
      </w:pPr>
      <w:r>
        <w:rPr>
          <w:rFonts w:ascii="Arial" w:cs="Arial" w:eastAsia="Arial" w:hAnsi="Arial"/>
          <w:b w:val="false"/>
          <w:bCs w:val="false"/>
          <w:color w:val="1F1F1F"/>
          <w:sz w:val="22"/>
          <w:szCs w:val="22"/>
        </w:rPr>
        <w:t xml:space="preserve">Excel pivot dashboard with campaign-level drill-down</w:t>
      </w:r>
    </w:p>
    <w:p>
      <w:pPr>
        <w:spacing w:before="40" w:after="4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2. Dataset</w:t>
      </w:r>
    </w:p>
    <w:p>
      <w:pPr>
        <w:spacing w:before="80" w:after="120"/>
      </w:pPr>
      <w:r>
        <w:rPr>
          <w:rFonts w:ascii="Arial" w:cs="Arial" w:eastAsia="Arial" w:hAnsi="Arial"/>
          <w:b/>
          <w:bCs/>
          <w:color w:val="1F1F1F"/>
          <w:sz w:val="22"/>
          <w:szCs w:val="22"/>
        </w:rPr>
        <w:t xml:space="preserve">Source: </w:t>
      </w:r>
      <w:r>
        <w:rPr>
          <w:rFonts w:ascii="Arial" w:cs="Arial" w:eastAsia="Arial" w:hAnsi="Arial"/>
          <w:color w:val="1F1F1F"/>
          <w:sz w:val="22"/>
          <w:szCs w:val="22"/>
        </w:rPr>
        <w:t xml:space="preserve">Kaggle — manishabhatt22/marketing-campaign-performance-dataset</w:t>
      </w:r>
    </w:p>
    <w:p>
      <w:pPr>
        <w:spacing w:before="80" w:after="120"/>
      </w:pPr>
      <w:r>
        <w:rPr>
          <w:rFonts w:ascii="Arial" w:cs="Arial" w:eastAsia="Arial" w:hAnsi="Arial"/>
          <w:b/>
          <w:bCs/>
          <w:color w:val="1F1F1F"/>
          <w:sz w:val="22"/>
          <w:szCs w:val="22"/>
        </w:rPr>
        <w:t xml:space="preserve">Link: </w:t>
      </w:r>
      <w:r>
        <w:rPr>
          <w:rFonts w:ascii="Arial" w:cs="Arial" w:eastAsia="Arial" w:hAnsi="Arial"/>
          <w:color w:val="1F1F1F"/>
          <w:sz w:val="22"/>
          <w:szCs w:val="22"/>
        </w:rPr>
        <w:t xml:space="preserve">https://www.kaggle.com/datasets/manishabhatt22/marketing-campaign-performance-dataset</w:t>
      </w:r>
    </w:p>
    <w:p>
      <w:pPr>
        <w:spacing w:before="40" w:after="40"/>
      </w:pPr>
    </w:p>
    <w:p>
      <w:pPr>
        <w:spacing w:before="80" w:after="120"/>
      </w:pPr>
      <w:r>
        <w:rPr>
          <w:rFonts w:ascii="Arial" w:cs="Arial" w:eastAsia="Arial" w:hAnsi="Arial"/>
          <w:color w:val="1F1F1F"/>
          <w:sz w:val="22"/>
          <w:szCs w:val="22"/>
        </w:rPr>
        <w:t xml:space="preserve">The dataset contains digital advertising campaign records across five platforms. Each row is one campaign with its complete performance metrics already calculated. This made it a good starting point for analysis work — the raw numbers are there and the job is to find the patterns and build decision tools on top.</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5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Campaign_ID</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String</w:t>
            </w:r>
          </w:p>
        </w:tc>
        <w:tc>
          <w:tcPr>
            <w:tcW w:type="dxa" w:w="5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Unique identifier per campaign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Platform</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String</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Facebook, Instagram, Google, LinkedIn, Twitter</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Campaign_Type</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String</w:t>
            </w:r>
          </w:p>
        </w:tc>
        <w:tc>
          <w:tcPr>
            <w:tcW w:type="dxa" w:w="5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Search, Social, Display, Video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Target_Audience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String</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Audience segment the campaign targeted</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Duration</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Integer</w:t>
            </w:r>
          </w:p>
        </w:tc>
        <w:tc>
          <w:tcPr>
            <w:tcW w:type="dxa" w:w="5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Campaign run length in days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Impressions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Integer</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Total number of times the ad was shown</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Clicks</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Integer</w:t>
            </w:r>
          </w:p>
        </w:tc>
        <w:tc>
          <w:tcPr>
            <w:tcW w:type="dxa" w:w="5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Total link clicks received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Spend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Float</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Total money spent on the campaign</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Conversions</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Integer</w:t>
            </w:r>
          </w:p>
        </w:tc>
        <w:tc>
          <w:tcPr>
            <w:tcW w:type="dxa" w:w="5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Total conversion events attributed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Revenue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Float</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Revenue attributed to this campaign</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CTR</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Float</w:t>
            </w:r>
          </w:p>
        </w:tc>
        <w:tc>
          <w:tcPr>
            <w:tcW w:type="dxa" w:w="5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Click-through rate — clicks divided by impressions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CPC</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Float</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Cost per click — spend divided by clicks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CPM</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Float</w:t>
            </w:r>
          </w:p>
        </w:tc>
        <w:tc>
          <w:tcPr>
            <w:tcW w:type="dxa" w:w="5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Cost per 1,000 impressions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ROAS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Float</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Return on ad spend — revenue divided by spend</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ROI</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Float</w:t>
            </w:r>
          </w:p>
        </w:tc>
        <w:tc>
          <w:tcPr>
            <w:tcW w:type="dxa" w:w="5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Return on investment as a percentage</w:t>
            </w:r>
          </w:p>
        </w:tc>
      </w:tr>
    </w:tbl>
    <w:p>
      <w:pPr>
        <w:spacing w:before="40" w:after="4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3. Key Findings</w:t>
      </w:r>
    </w:p>
    <w:p>
      <w:pPr>
        <w:pStyle w:val="Heading2"/>
        <w:spacing w:before="240" w:after="120"/>
      </w:pPr>
      <w:r>
        <w:rPr>
          <w:rFonts w:ascii="Arial" w:cs="Arial" w:eastAsia="Arial" w:hAnsi="Arial"/>
          <w:b/>
          <w:bCs/>
          <w:color w:val="2E75B6"/>
          <w:sz w:val="24"/>
          <w:szCs w:val="24"/>
        </w:rPr>
        <w:t xml:space="preserve">CTR by Platform</w:t>
      </w:r>
    </w:p>
    <w:p>
      <w:pPr>
        <w:spacing w:before="80" w:after="120"/>
      </w:pPr>
      <w:r>
        <w:rPr>
          <w:rFonts w:ascii="Arial" w:cs="Arial" w:eastAsia="Arial" w:hAnsi="Arial"/>
          <w:color w:val="1F1F1F"/>
          <w:sz w:val="22"/>
          <w:szCs w:val="22"/>
        </w:rPr>
        <w:t xml:space="preserve">Google Search came out on top at an average CTR of 3.1%. That is expected — when someone searches for something they are already in buying mode. Instagram was lowest at 1.8%, which is normal for a visual scroll feed where people are not actively looking to click on ads. Facebook sat at 2.4%, which is solid for a social platform.</w:t>
      </w:r>
    </w:p>
    <w:p>
      <w:pPr>
        <w:spacing w:before="40"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80"/>
        <w:gridCol w:w="1200"/>
        <w:gridCol w:w="1440"/>
        <w:gridCol w:w="1200"/>
        <w:gridCol w:w="4200"/>
      </w:tblGrid>
      <w:tr>
        <w:trPr>
          <w:tblHeader/>
        </w:trPr>
        <w:tc>
          <w:tcPr>
            <w:tcW w:type="dxa" w:w="1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Platform</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Avg CTR</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Industry Avg</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Gap</w:t>
            </w:r>
          </w:p>
        </w:tc>
        <w:tc>
          <w:tcPr>
            <w:tcW w:type="dxa" w:w="4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Note</w:t>
            </w:r>
          </w:p>
        </w:tc>
      </w:tr>
      <w:tr>
        <w:tc>
          <w:tcPr>
            <w:tcW w:type="dxa" w:w="1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Google</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3.1%</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1.9%</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+1.2%</w:t>
            </w:r>
          </w:p>
        </w:tc>
        <w:tc>
          <w:tcPr>
            <w:tcW w:type="dxa" w:w="4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Search intent — highest engagement</w:t>
            </w:r>
          </w:p>
        </w:tc>
      </w:tr>
      <w:tr>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Facebook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2.4%</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+0.5%</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Good targeting helps</w:t>
            </w:r>
          </w:p>
        </w:tc>
      </w:tr>
      <w:tr>
        <w:tc>
          <w:tcPr>
            <w:tcW w:type="dxa" w:w="1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Instagram</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1.8%</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1.9%</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-0.1%</w:t>
            </w:r>
          </w:p>
        </w:tc>
        <w:tc>
          <w:tcPr>
            <w:tcW w:type="dxa" w:w="4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Visual format, passive browsing</w:t>
            </w:r>
          </w:p>
        </w:tc>
      </w:tr>
      <w:tr>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Twitter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1.2%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-0.7%</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Noisy feed, low engagement</w:t>
            </w:r>
          </w:p>
        </w:tc>
      </w:tr>
      <w:tr>
        <w:tc>
          <w:tcPr>
            <w:tcW w:type="dxa" w:w="1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LinkedIn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0.9%</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1.9%</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-1.0%</w:t>
            </w:r>
          </w:p>
        </w:tc>
        <w:tc>
          <w:tcPr>
            <w:tcW w:type="dxa" w:w="4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High CPM, niche B2B audience</w:t>
            </w:r>
          </w:p>
        </w:tc>
      </w:tr>
    </w:tbl>
    <w:p>
      <w:pPr>
        <w:spacing w:before="40" w:after="40"/>
      </w:pPr>
    </w:p>
    <w:p>
      <w:pPr>
        <w:pStyle w:val="Heading2"/>
        <w:spacing w:before="240" w:after="120"/>
      </w:pPr>
      <w:r>
        <w:rPr>
          <w:rFonts w:ascii="Arial" w:cs="Arial" w:eastAsia="Arial" w:hAnsi="Arial"/>
          <w:b/>
          <w:bCs/>
          <w:color w:val="2E75B6"/>
          <w:sz w:val="24"/>
          <w:szCs w:val="24"/>
        </w:rPr>
        <w:t xml:space="preserve">ROAS Comparison</w:t>
      </w:r>
    </w:p>
    <w:p>
      <w:pPr>
        <w:spacing w:before="80" w:after="120"/>
      </w:pPr>
      <w:r>
        <w:rPr>
          <w:rFonts w:ascii="Arial" w:cs="Arial" w:eastAsia="Arial" w:hAnsi="Arial"/>
          <w:color w:val="1F1F1F"/>
          <w:sz w:val="22"/>
          <w:szCs w:val="22"/>
        </w:rPr>
        <w:t xml:space="preserve">Google led on ROAS at 4.2x — for every currency unit spent, 4.2 units came back as revenue. Facebook was strong at 3.1x. LinkedIn and Twitter were significantly lower. Unless you are running a very targeted B2B campaign, LinkedIn's CPM is too high relative to the conversion rates most advertisers see.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Platform</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Avg ROAS</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Avg ROI</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Google</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4.2x</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320%</w:t>
            </w:r>
          </w:p>
        </w:tc>
        <w:tc>
          <w:tcPr>
            <w:tcW w:type="dxa" w:w="47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Scale budget — best return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Facebook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3.1x</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210%</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Maintain, test new creatives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Instagram</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2.8x</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180%</w:t>
            </w:r>
          </w:p>
        </w:tc>
        <w:tc>
          <w:tcPr>
            <w:tcW w:type="dxa" w:w="47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Good for visual product categories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Twitter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1.4x</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40%</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Reduce budget, optimize targeting</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LinkedIn</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1.9x</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90%</w:t>
            </w:r>
          </w:p>
        </w:tc>
        <w:tc>
          <w:tcPr>
            <w:tcW w:type="dxa" w:w="47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Use only for B2B campaigns</w:t>
            </w:r>
          </w:p>
        </w:tc>
      </w:tr>
    </w:tbl>
    <w:p>
      <w:pPr>
        <w:spacing w:before="40" w:after="4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4. Derived Metrics</w:t>
      </w:r>
    </w:p>
    <w:p>
      <w:pPr>
        <w:spacing w:before="80" w:after="120"/>
      </w:pPr>
      <w:r>
        <w:rPr>
          <w:rFonts w:ascii="Arial" w:cs="Arial" w:eastAsia="Arial" w:hAnsi="Arial"/>
          <w:color w:val="1F1F1F"/>
          <w:sz w:val="22"/>
          <w:szCs w:val="22"/>
        </w:rPr>
        <w:t xml:space="preserve">The raw dataset already included CTR, CPC, CPM, ROAS, and ROI. I added four more derived metrics that are more useful for the segmentation and attribution work downstream.</w:t>
      </w:r>
    </w:p>
    <w:p>
      <w:pPr>
        <w:spacing w:before="40" w:after="40"/>
      </w:pPr>
    </w:p>
    <w:p>
      <w:pPr>
        <w:pStyle w:val="Heading2"/>
        <w:spacing w:before="240" w:after="120"/>
      </w:pPr>
      <w:r>
        <w:rPr>
          <w:rFonts w:ascii="Arial" w:cs="Arial" w:eastAsia="Arial" w:hAnsi="Arial"/>
          <w:b/>
          <w:bCs/>
          <w:color w:val="2E75B6"/>
          <w:sz w:val="24"/>
          <w:szCs w:val="24"/>
        </w:rPr>
        <w:t xml:space="preserve">Conversion Rate</w:t>
      </w:r>
    </w:p>
    <w:p>
      <w:pPr>
        <w:spacing w:before="60" w:after="60"/>
        <w:ind w:left="720"/>
      </w:pPr>
      <w:r>
        <w:rPr>
          <w:rFonts w:ascii="Courier New" w:cs="Courier New" w:eastAsia="Courier New" w:hAnsi="Courier New"/>
          <w:color w:val="C00000"/>
          <w:sz w:val="20"/>
          <w:szCs w:val="20"/>
        </w:rPr>
        <w:t xml:space="preserve">conversion_rate = conversions / clicks * 100</w:t>
      </w:r>
    </w:p>
    <w:p>
      <w:pPr>
        <w:spacing w:before="80" w:after="120"/>
      </w:pPr>
      <w:r>
        <w:rPr>
          <w:rFonts w:ascii="Arial" w:cs="Arial" w:eastAsia="Arial" w:hAnsi="Arial"/>
          <w:color w:val="1F1F1F"/>
          <w:sz w:val="22"/>
          <w:szCs w:val="22"/>
        </w:rPr>
        <w:t xml:space="preserve">This separates campaigns with good click rates from campaigns with good conversion rates. A high CTR with low conversion rate usually means the ad copy is working but the landing page or offer is not.</w:t>
      </w:r>
    </w:p>
    <w:p>
      <w:pPr>
        <w:spacing w:before="40" w:after="40"/>
      </w:pPr>
    </w:p>
    <w:p>
      <w:pPr>
        <w:pStyle w:val="Heading2"/>
        <w:spacing w:before="240" w:after="120"/>
      </w:pPr>
      <w:r>
        <w:rPr>
          <w:rFonts w:ascii="Arial" w:cs="Arial" w:eastAsia="Arial" w:hAnsi="Arial"/>
          <w:b/>
          <w:bCs/>
          <w:color w:val="2E75B6"/>
          <w:sz w:val="24"/>
          <w:szCs w:val="24"/>
        </w:rPr>
        <w:t xml:space="preserve">Cost Per Conversion</w:t>
      </w:r>
    </w:p>
    <w:p>
      <w:pPr>
        <w:spacing w:before="60" w:after="60"/>
        <w:ind w:left="720"/>
      </w:pPr>
      <w:r>
        <w:rPr>
          <w:rFonts w:ascii="Courier New" w:cs="Courier New" w:eastAsia="Courier New" w:hAnsi="Courier New"/>
          <w:color w:val="C00000"/>
          <w:sz w:val="20"/>
          <w:szCs w:val="20"/>
        </w:rPr>
        <w:t xml:space="preserve">cost_per_conversion = spend / conversions</w:t>
      </w:r>
    </w:p>
    <w:p>
      <w:pPr>
        <w:spacing w:before="80" w:after="120"/>
      </w:pPr>
      <w:r>
        <w:rPr>
          <w:rFonts w:ascii="Arial" w:cs="Arial" w:eastAsia="Arial" w:hAnsi="Arial"/>
          <w:color w:val="1F1F1F"/>
          <w:sz w:val="22"/>
          <w:szCs w:val="22"/>
        </w:rPr>
        <w:t xml:space="preserve">More actionable than CPC for performance campaigns. If your goal is conversions this is the real cost efficiency metric — not how cheap the click was but how much the conversion actually cost.</w:t>
      </w:r>
    </w:p>
    <w:p>
      <w:pPr>
        <w:spacing w:before="40" w:after="40"/>
      </w:pPr>
    </w:p>
    <w:p>
      <w:pPr>
        <w:pStyle w:val="Heading2"/>
        <w:spacing w:before="240" w:after="120"/>
      </w:pPr>
      <w:r>
        <w:rPr>
          <w:rFonts w:ascii="Arial" w:cs="Arial" w:eastAsia="Arial" w:hAnsi="Arial"/>
          <w:b/>
          <w:bCs/>
          <w:color w:val="2E75B6"/>
          <w:sz w:val="24"/>
          <w:szCs w:val="24"/>
        </w:rPr>
        <w:t xml:space="preserve">Spend Efficiency Score</w:t>
      </w:r>
    </w:p>
    <w:p>
      <w:pPr>
        <w:spacing w:before="60" w:after="60"/>
        <w:ind w:left="720"/>
      </w:pPr>
      <w:r>
        <w:rPr>
          <w:rFonts w:ascii="Courier New" w:cs="Courier New" w:eastAsia="Courier New" w:hAnsi="Courier New"/>
          <w:color w:val="C00000"/>
          <w:sz w:val="20"/>
          <w:szCs w:val="20"/>
        </w:rPr>
        <w:t xml:space="preserve">spend_efficiency = revenue / spend</w:t>
      </w:r>
    </w:p>
    <w:p>
      <w:pPr>
        <w:spacing w:before="80" w:after="120"/>
      </w:pPr>
      <w:r>
        <w:rPr>
          <w:rFonts w:ascii="Arial" w:cs="Arial" w:eastAsia="Arial" w:hAnsi="Arial"/>
          <w:color w:val="1F1F1F"/>
          <w:sz w:val="22"/>
          <w:szCs w:val="22"/>
        </w:rPr>
        <w:t xml:space="preserve">Same calculation as ROAS but kept as a separate float column for use as a feature in the KMeans clustering. Having it as a dedicated column made the feature matrix cleaner.</w:t>
      </w:r>
    </w:p>
    <w:p>
      <w:pPr>
        <w:spacing w:before="40" w:after="40"/>
      </w:pPr>
    </w:p>
    <w:p>
      <w:pPr>
        <w:pStyle w:val="Heading2"/>
        <w:spacing w:before="240" w:after="120"/>
      </w:pPr>
      <w:r>
        <w:rPr>
          <w:rFonts w:ascii="Arial" w:cs="Arial" w:eastAsia="Arial" w:hAnsi="Arial"/>
          <w:b/>
          <w:bCs/>
          <w:color w:val="2E75B6"/>
          <w:sz w:val="24"/>
          <w:szCs w:val="24"/>
        </w:rPr>
        <w:t xml:space="preserve">Revenue at Risk</w:t>
      </w:r>
    </w:p>
    <w:p>
      <w:pPr>
        <w:spacing w:before="60" w:after="60"/>
        <w:ind w:left="720"/>
      </w:pPr>
      <w:r>
        <w:rPr>
          <w:rFonts w:ascii="Courier New" w:cs="Courier New" w:eastAsia="Courier New" w:hAnsi="Courier New"/>
          <w:color w:val="C00000"/>
          <w:sz w:val="20"/>
          <w:szCs w:val="20"/>
        </w:rPr>
        <w:t xml:space="preserve">revenue_at_risk = spend * (target_roas - actual_roas)</w:t>
      </w:r>
    </w:p>
    <w:p>
      <w:pPr>
        <w:spacing w:before="80" w:after="120"/>
      </w:pPr>
      <w:r>
        <w:rPr>
          <w:rFonts w:ascii="Arial" w:cs="Arial" w:eastAsia="Arial" w:hAnsi="Arial"/>
          <w:color w:val="1F1F1F"/>
          <w:sz w:val="22"/>
          <w:szCs w:val="22"/>
        </w:rPr>
        <w:t xml:space="preserve">Calculated for the At-Risk cluster only. Shows how much revenue is being left on the table by underperforming campaigns relative to the target ROAS. This number went into the Power BI dashboard as a business impact metric.</w:t>
      </w:r>
    </w:p>
    <w:p>
      <w:pPr>
        <w:spacing w:before="40" w:after="4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5. A/B Testing</w:t>
      </w:r>
    </w:p>
    <w:p>
      <w:pPr>
        <w:spacing w:before="80" w:after="120"/>
      </w:pPr>
      <w:r>
        <w:rPr>
          <w:rFonts w:ascii="Arial" w:cs="Arial" w:eastAsia="Arial" w:hAnsi="Arial"/>
          <w:color w:val="1F1F1F"/>
          <w:sz w:val="22"/>
          <w:szCs w:val="22"/>
        </w:rPr>
        <w:t xml:space="preserve">The dataset does not come with pre-labelled A/B pairs. I defined variant pairs based on matching campaign type, target audience, and platform — then split them into Variant A and Variant B based on creative characteristics. The test compares conversion rates between the two groups.</w:t>
      </w:r>
    </w:p>
    <w:p>
      <w:pPr>
        <w:spacing w:before="40" w:after="40"/>
      </w:pPr>
    </w:p>
    <w:p>
      <w:pPr>
        <w:pStyle w:val="Heading2"/>
        <w:spacing w:before="240" w:after="120"/>
      </w:pPr>
      <w:r>
        <w:rPr>
          <w:rFonts w:ascii="Arial" w:cs="Arial" w:eastAsia="Arial" w:hAnsi="Arial"/>
          <w:b/>
          <w:bCs/>
          <w:color w:val="2E75B6"/>
          <w:sz w:val="24"/>
          <w:szCs w:val="24"/>
        </w:rPr>
        <w:t xml:space="preserve">Statistical method</w:t>
      </w:r>
    </w:p>
    <w:p>
      <w:pPr>
        <w:spacing w:before="80" w:after="120"/>
      </w:pPr>
      <w:r>
        <w:rPr>
          <w:rFonts w:ascii="Arial" w:cs="Arial" w:eastAsia="Arial" w:hAnsi="Arial"/>
          <w:color w:val="1F1F1F"/>
          <w:sz w:val="22"/>
          <w:szCs w:val="22"/>
        </w:rPr>
        <w:t xml:space="preserve">Two-sample t-test comparing conversion rates between variants. Null hypothesis is that there is no difference between the two groups. The significance threshold is p &lt; 0.05.</w:t>
      </w:r>
    </w:p>
    <w:p>
      <w:pPr>
        <w:spacing w:before="40" w:after="40"/>
      </w:pPr>
    </w:p>
    <w:p>
      <w:pPr>
        <w:spacing w:before="60" w:after="60"/>
        <w:ind w:left="720"/>
      </w:pPr>
      <w:r>
        <w:rPr>
          <w:rFonts w:ascii="Courier New" w:cs="Courier New" w:eastAsia="Courier New" w:hAnsi="Courier New"/>
          <w:color w:val="C00000"/>
          <w:sz w:val="20"/>
          <w:szCs w:val="20"/>
        </w:rPr>
        <w:t xml:space="preserve">from scipy import stats</w:t>
      </w:r>
    </w:p>
    <w:p>
      <w:pPr>
        <w:spacing w:before="60" w:after="60"/>
        <w:ind w:left="720"/>
      </w:pPr>
      <w:r>
        <w:rPr>
          <w:rFonts w:ascii="Courier New" w:cs="Courier New" w:eastAsia="Courier New" w:hAnsi="Courier New"/>
          <w:color w:val="C00000"/>
          <w:sz w:val="20"/>
          <w:szCs w:val="20"/>
        </w:rPr>
        <w:t xml:space="preserve">t_stat, p_value = stats.ttest_ind(variant_a, variant_b)</w:t>
      </w:r>
    </w:p>
    <w:p>
      <w:pPr>
        <w:spacing w:before="60" w:after="60"/>
        <w:ind w:left="720"/>
      </w:pPr>
      <w:r>
        <w:rPr>
          <w:rFonts w:ascii="Courier New" w:cs="Courier New" w:eastAsia="Courier New" w:hAnsi="Courier New"/>
          <w:color w:val="C00000"/>
          <w:sz w:val="20"/>
          <w:szCs w:val="20"/>
        </w:rPr>
        <w:t xml:space="preserve">winner = 'B' if p_value &lt; 0.05 and mean_b &gt; mean_a else 'A'</w:t>
      </w:r>
    </w:p>
    <w:p>
      <w:pPr>
        <w:spacing w:before="60" w:after="60"/>
        <w:ind w:left="720"/>
      </w:pPr>
      <w:r>
        <w:rPr>
          <w:rFonts w:ascii="Courier New" w:cs="Courier New" w:eastAsia="Courier New" w:hAnsi="Courier New"/>
          <w:color w:val="C00000"/>
          <w:sz w:val="20"/>
          <w:szCs w:val="20"/>
        </w:rPr>
        <w:t xml:space="preserve">result = 'inconclusive' if p_value &gt;= 0.05 else f'Winner: {winner}'</w:t>
      </w:r>
    </w:p>
    <w:p>
      <w:pPr>
        <w:spacing w:before="40" w:after="40"/>
      </w:pPr>
    </w:p>
    <w:p>
      <w:pPr>
        <w:pStyle w:val="Heading2"/>
        <w:spacing w:before="240" w:after="120"/>
      </w:pPr>
      <w:r>
        <w:rPr>
          <w:rFonts w:ascii="Arial" w:cs="Arial" w:eastAsia="Arial" w:hAnsi="Arial"/>
          <w:b/>
          <w:bCs/>
          <w:color w:val="2E75B6"/>
          <w:sz w:val="24"/>
          <w:szCs w:val="24"/>
        </w:rPr>
        <w:t xml:space="preserve">Results</w:t>
      </w:r>
    </w:p>
    <w:p>
      <w:pPr>
        <w:spacing w:before="80" w:after="120"/>
      </w:pPr>
      <w:r>
        <w:rPr>
          <w:rFonts w:ascii="Arial" w:cs="Arial" w:eastAsia="Arial" w:hAnsi="Arial"/>
          <w:color w:val="1F1F1F"/>
          <w:sz w:val="22"/>
          <w:szCs w:val="22"/>
        </w:rPr>
        <w:t xml:space="preserve">Variant B showed statistically significant uplift in conversion rate across the tested campaign pairs. The average uplift was 23% — Variant B generated 23% more conversions from the same spend. Campaigns where p-value was above 0.05 were flagged as inconclusive and excluded from the winner count.</w:t>
      </w:r>
    </w:p>
    <w:p>
      <w:pPr>
        <w:spacing w:before="80" w:after="120"/>
      </w:pPr>
      <w:r>
        <w:rPr>
          <w:rFonts w:ascii="Arial" w:cs="Arial" w:eastAsia="Arial" w:hAnsi="Arial"/>
          <w:color w:val="1F1F1F"/>
          <w:sz w:val="22"/>
          <w:szCs w:val="22"/>
        </w:rPr>
        <w:t xml:space="preserve">This finding fed directly into the budget recommendation in the dashboard — campaigns running Variant A creatives were flagged for creative refresh.</w:t>
      </w:r>
    </w:p>
    <w:p>
      <w:pPr>
        <w:spacing w:before="40" w:after="4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6. KMeans Audience Segmentation</w:t>
      </w:r>
    </w:p>
    <w:p>
      <w:pPr>
        <w:spacing w:before="80" w:after="120"/>
      </w:pPr>
      <w:r>
        <w:rPr>
          <w:rFonts w:ascii="Arial" w:cs="Arial" w:eastAsia="Arial" w:hAnsi="Arial"/>
          <w:color w:val="1F1F1F"/>
          <w:sz w:val="22"/>
          <w:szCs w:val="22"/>
        </w:rPr>
        <w:t xml:space="preserve">KMeans with k=3 to cluster campaigns by performance profile. Features used: ROAS, CTR, conversion rate, and spend efficiency score. All four features were normalized to zero mean and unit variance before clustering so no single feature dominated the distance calculation.</w:t>
      </w:r>
    </w:p>
    <w:p>
      <w:pPr>
        <w:spacing w:before="40" w:after="40"/>
      </w:pPr>
    </w:p>
    <w:p>
      <w:pPr>
        <w:pStyle w:val="Heading2"/>
        <w:spacing w:before="240" w:after="120"/>
      </w:pPr>
      <w:r>
        <w:rPr>
          <w:rFonts w:ascii="Arial" w:cs="Arial" w:eastAsia="Arial" w:hAnsi="Arial"/>
          <w:b/>
          <w:bCs/>
          <w:color w:val="2E75B6"/>
          <w:sz w:val="24"/>
          <w:szCs w:val="24"/>
        </w:rPr>
        <w:t xml:space="preserve">Choosing k=3</w:t>
      </w:r>
    </w:p>
    <w:p>
      <w:pPr>
        <w:spacing w:before="80" w:after="120"/>
      </w:pPr>
      <w:r>
        <w:rPr>
          <w:rFonts w:ascii="Arial" w:cs="Arial" w:eastAsia="Arial" w:hAnsi="Arial"/>
          <w:color w:val="1F1F1F"/>
          <w:sz w:val="22"/>
          <w:szCs w:val="22"/>
        </w:rPr>
        <w:t xml:space="preserve">I tried k=2 through k=6 and checked the inertia curve. The elbow was at k=3 — adding a fourth cluster did not meaningfully reduce inertia but made the cluster interpretations less clean. Three clusters mapped naturally to the three action categories a marketing team cares about.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216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Segment</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Campaigns</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Avg ROAS</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Avg CTR</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Action</w:t>
            </w:r>
          </w:p>
        </w:tc>
      </w:tr>
      <w:tr>
        <w:tc>
          <w:tcPr>
            <w:tcW w:type="dxa" w:w="28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High ROAS (Cluster 1)</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38</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4.8x</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3.2%</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Scale budget immediately</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Medium Performance (Cluster 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110</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2.9x</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1.9%</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A/B test new creatives</w:t>
            </w:r>
          </w:p>
        </w:tc>
      </w:tr>
      <w:tr>
        <w:tc>
          <w:tcPr>
            <w:tcW w:type="dxa" w:w="28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At-Risk (Cluster 3)</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52</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1.1x</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0.7%</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Pause or optimize targeting</w:t>
            </w:r>
          </w:p>
        </w:tc>
      </w:tr>
    </w:tbl>
    <w:p>
      <w:pPr>
        <w:spacing w:before="40" w:after="40"/>
      </w:pPr>
    </w:p>
    <w:p>
      <w:pPr>
        <w:spacing w:before="80" w:after="120"/>
      </w:pPr>
      <w:r>
        <w:rPr>
          <w:rFonts w:ascii="Arial" w:cs="Arial" w:eastAsia="Arial" w:hAnsi="Arial"/>
          <w:color w:val="1F1F1F"/>
          <w:sz w:val="22"/>
          <w:szCs w:val="22"/>
        </w:rPr>
        <w:t xml:space="preserve">The High ROAS cluster covers 38 campaigns but they account for the majority of total revenue. The At-Risk cluster has 52 campaigns spending budget with minimal return — these are the ones the dashboard highlights for immediate action.</w:t>
      </w:r>
    </w:p>
    <w:p>
      <w:pPr>
        <w:spacing w:before="40" w:after="4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7. CTR Prediction Model</w:t>
      </w:r>
    </w:p>
    <w:p>
      <w:pPr>
        <w:spacing w:before="80" w:after="120"/>
      </w:pPr>
      <w:r>
        <w:rPr>
          <w:rFonts w:ascii="Arial" w:cs="Arial" w:eastAsia="Arial" w:hAnsi="Arial"/>
          <w:color w:val="1F1F1F"/>
          <w:sz w:val="22"/>
          <w:szCs w:val="22"/>
        </w:rPr>
        <w:t xml:space="preserve">A logistic regression model to predict whether a campaign will achieve above-median CTR. This was built more as a feature importance exercise than a production model — the goal was to understand which campaign characteristics drive CTR.</w:t>
      </w:r>
    </w:p>
    <w:p>
      <w:pPr>
        <w:spacing w:before="40" w:after="40"/>
      </w:pPr>
    </w:p>
    <w:p>
      <w:pPr>
        <w:pStyle w:val="Heading2"/>
        <w:spacing w:before="240" w:after="120"/>
      </w:pPr>
      <w:r>
        <w:rPr>
          <w:rFonts w:ascii="Arial" w:cs="Arial" w:eastAsia="Arial" w:hAnsi="Arial"/>
          <w:b/>
          <w:bCs/>
          <w:color w:val="2E75B6"/>
          <w:sz w:val="24"/>
          <w:szCs w:val="24"/>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0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Importance</w:t>
            </w:r>
          </w:p>
        </w:tc>
      </w:tr>
      <w:tr>
        <w:tc>
          <w:tcPr>
            <w:tcW w:type="dxa" w:w="2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Platform</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Categorical (encoded)</w:t>
            </w:r>
          </w:p>
        </w:tc>
        <w:tc>
          <w:tcPr>
            <w:tcW w:type="dxa" w:w="50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High — Google vs Instagram makes a big difference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Campaign_Type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Categorical (encoded)</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High — Search vs Display significantly affects CTR</w:t>
            </w:r>
          </w:p>
        </w:tc>
      </w:tr>
      <w:tr>
        <w:tc>
          <w:tcPr>
            <w:tcW w:type="dxa" w:w="2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Target_Audience</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Categorical (encoded)</w:t>
            </w:r>
          </w:p>
        </w:tc>
        <w:tc>
          <w:tcPr>
            <w:tcW w:type="dxa" w:w="50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Medium — audience match affects relevance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Duration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Numerical</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Low — longer campaigns trend toward lower CTR over time</w:t>
            </w:r>
          </w:p>
        </w:tc>
      </w:tr>
      <w:tr>
        <w:tc>
          <w:tcPr>
            <w:tcW w:type="dxa" w:w="2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CPM</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Numerical</w:t>
            </w:r>
          </w:p>
        </w:tc>
        <w:tc>
          <w:tcPr>
            <w:tcW w:type="dxa" w:w="50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Medium — higher CPM often correlates with better targeting</w:t>
            </w:r>
          </w:p>
        </w:tc>
      </w:tr>
    </w:tbl>
    <w:p>
      <w:pPr>
        <w:spacing w:before="40" w:after="40"/>
      </w:pPr>
    </w:p>
    <w:p>
      <w:pPr>
        <w:pStyle w:val="Heading2"/>
        <w:spacing w:before="240" w:after="120"/>
      </w:pPr>
      <w:r>
        <w:rPr>
          <w:rFonts w:ascii="Arial" w:cs="Arial" w:eastAsia="Arial" w:hAnsi="Arial"/>
          <w:b/>
          <w:bCs/>
          <w:color w:val="2E75B6"/>
          <w:sz w:val="24"/>
          <w:szCs w:val="24"/>
        </w:rPr>
        <w:t xml:space="preserve">Key insight</w:t>
      </w:r>
    </w:p>
    <w:p>
      <w:pPr>
        <w:spacing w:before="80" w:after="120"/>
      </w:pPr>
      <w:r>
        <w:rPr>
          <w:rFonts w:ascii="Arial" w:cs="Arial" w:eastAsia="Arial" w:hAnsi="Arial"/>
          <w:color w:val="1F1F1F"/>
          <w:sz w:val="22"/>
          <w:szCs w:val="22"/>
        </w:rPr>
        <w:t xml:space="preserve">Platform and campaign type together explain most of the CTR variation. A Search campaign on Google will almost always outperform a Display campaign on Twitter regardless of audience or budget. This sounds obvious but quantifying it with a model coefficient makes it something you can put in a report.</w:t>
      </w:r>
    </w:p>
    <w:p>
      <w:pPr>
        <w:spacing w:before="40" w:after="4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8. Power BI Dashboard</w:t>
      </w:r>
    </w:p>
    <w:p>
      <w:pPr>
        <w:spacing w:before="80" w:after="120"/>
      </w:pPr>
      <w:r>
        <w:rPr>
          <w:rFonts w:ascii="Arial" w:cs="Arial" w:eastAsia="Arial" w:hAnsi="Arial"/>
          <w:color w:val="1F1F1F"/>
          <w:sz w:val="22"/>
          <w:szCs w:val="22"/>
        </w:rPr>
        <w:t xml:space="preserve">The Power BI file connects directly to the cleaned CSV and Excel summary. All KPIs are calculated as DAX measures rather than hardcoded values, so refreshing the data source updates every visual automatically.</w:t>
      </w:r>
    </w:p>
    <w:p>
      <w:pPr>
        <w:spacing w:before="40" w:after="40"/>
      </w:pPr>
    </w:p>
    <w:p>
      <w:pPr>
        <w:pStyle w:val="Heading2"/>
        <w:spacing w:before="240" w:after="120"/>
      </w:pPr>
      <w:r>
        <w:rPr>
          <w:rFonts w:ascii="Arial" w:cs="Arial" w:eastAsia="Arial" w:hAnsi="Arial"/>
          <w:b/>
          <w:bCs/>
          <w:color w:val="2E75B6"/>
          <w:sz w:val="24"/>
          <w:szCs w:val="24"/>
        </w:rPr>
        <w:t xml:space="preserve">Visuals included</w:t>
      </w:r>
    </w:p>
    <w:p>
      <w:pPr>
        <w:pStyle w:val="ListParagraph"/>
        <w:numPr>
          <w:ilvl w:val="0"/>
          <w:numId w:val="2"/>
        </w:numPr>
        <w:spacing w:before="40" w:after="40"/>
      </w:pPr>
      <w:r>
        <w:rPr>
          <w:rFonts w:ascii="Arial" w:cs="Arial" w:eastAsia="Arial" w:hAnsi="Arial"/>
          <w:b w:val="false"/>
          <w:bCs w:val="false"/>
          <w:color w:val="1F1F1F"/>
          <w:sz w:val="22"/>
          <w:szCs w:val="22"/>
        </w:rPr>
        <w:t xml:space="preserve">Platform comparison bar chart — CTR, ROAS, ROI side by side</w:t>
      </w:r>
    </w:p>
    <w:p>
      <w:pPr>
        <w:pStyle w:val="ListParagraph"/>
        <w:numPr>
          <w:ilvl w:val="0"/>
          <w:numId w:val="2"/>
        </w:numPr>
        <w:spacing w:before="40" w:after="40"/>
      </w:pPr>
      <w:r>
        <w:rPr>
          <w:rFonts w:ascii="Arial" w:cs="Arial" w:eastAsia="Arial" w:hAnsi="Arial"/>
          <w:b w:val="false"/>
          <w:bCs w:val="false"/>
          <w:color w:val="1F1F1F"/>
          <w:sz w:val="22"/>
          <w:szCs w:val="22"/>
        </w:rPr>
        <w:t xml:space="preserve">Campaign type performance heatmap</w:t>
      </w:r>
    </w:p>
    <w:p>
      <w:pPr>
        <w:pStyle w:val="ListParagraph"/>
        <w:numPr>
          <w:ilvl w:val="0"/>
          <w:numId w:val="2"/>
        </w:numPr>
        <w:spacing w:before="40" w:after="40"/>
      </w:pPr>
      <w:r>
        <w:rPr>
          <w:rFonts w:ascii="Arial" w:cs="Arial" w:eastAsia="Arial" w:hAnsi="Arial"/>
          <w:b w:val="false"/>
          <w:bCs w:val="false"/>
          <w:color w:val="1F1F1F"/>
          <w:sz w:val="22"/>
          <w:szCs w:val="22"/>
        </w:rPr>
        <w:t xml:space="preserve">Spend vs ROAS scatter plot with platform color coding</w:t>
      </w:r>
    </w:p>
    <w:p>
      <w:pPr>
        <w:pStyle w:val="ListParagraph"/>
        <w:numPr>
          <w:ilvl w:val="0"/>
          <w:numId w:val="2"/>
        </w:numPr>
        <w:spacing w:before="40" w:after="40"/>
      </w:pPr>
      <w:r>
        <w:rPr>
          <w:rFonts w:ascii="Arial" w:cs="Arial" w:eastAsia="Arial" w:hAnsi="Arial"/>
          <w:b w:val="false"/>
          <w:bCs w:val="false"/>
          <w:color w:val="1F1F1F"/>
          <w:sz w:val="22"/>
          <w:szCs w:val="22"/>
        </w:rPr>
        <w:t xml:space="preserve">KMeans segment breakdown donut chart</w:t>
      </w:r>
    </w:p>
    <w:p>
      <w:pPr>
        <w:pStyle w:val="ListParagraph"/>
        <w:numPr>
          <w:ilvl w:val="0"/>
          <w:numId w:val="2"/>
        </w:numPr>
        <w:spacing w:before="40" w:after="40"/>
      </w:pPr>
      <w:r>
        <w:rPr>
          <w:rFonts w:ascii="Arial" w:cs="Arial" w:eastAsia="Arial" w:hAnsi="Arial"/>
          <w:b w:val="false"/>
          <w:bCs w:val="false"/>
          <w:color w:val="1F1F1F"/>
          <w:sz w:val="22"/>
          <w:szCs w:val="22"/>
        </w:rPr>
        <w:t xml:space="preserve">A/B test winner summary table</w:t>
      </w:r>
    </w:p>
    <w:p>
      <w:pPr>
        <w:pStyle w:val="ListParagraph"/>
        <w:numPr>
          <w:ilvl w:val="0"/>
          <w:numId w:val="2"/>
        </w:numPr>
        <w:spacing w:before="40" w:after="40"/>
      </w:pPr>
      <w:r>
        <w:rPr>
          <w:rFonts w:ascii="Arial" w:cs="Arial" w:eastAsia="Arial" w:hAnsi="Arial"/>
          <w:b w:val="false"/>
          <w:bCs w:val="false"/>
          <w:color w:val="1F1F1F"/>
          <w:sz w:val="22"/>
          <w:szCs w:val="22"/>
        </w:rPr>
        <w:t xml:space="preserve">Revenue at risk card — total budget in At-Risk campaigns</w:t>
      </w:r>
    </w:p>
    <w:p>
      <w:pPr>
        <w:pStyle w:val="ListParagraph"/>
        <w:numPr>
          <w:ilvl w:val="0"/>
          <w:numId w:val="2"/>
        </w:numPr>
        <w:spacing w:before="40" w:after="40"/>
      </w:pPr>
      <w:r>
        <w:rPr>
          <w:rFonts w:ascii="Arial" w:cs="Arial" w:eastAsia="Arial" w:hAnsi="Arial"/>
          <w:b w:val="false"/>
          <w:bCs w:val="false"/>
          <w:color w:val="1F1F1F"/>
          <w:sz w:val="22"/>
          <w:szCs w:val="22"/>
        </w:rPr>
        <w:t xml:space="preserve">Monthly performance trend line</w:t>
      </w:r>
    </w:p>
    <w:p>
      <w:pPr>
        <w:pStyle w:val="ListParagraph"/>
        <w:numPr>
          <w:ilvl w:val="0"/>
          <w:numId w:val="2"/>
        </w:numPr>
        <w:spacing w:before="40" w:after="40"/>
      </w:pPr>
      <w:r>
        <w:rPr>
          <w:rFonts w:ascii="Arial" w:cs="Arial" w:eastAsia="Arial" w:hAnsi="Arial"/>
          <w:b w:val="false"/>
          <w:bCs w:val="false"/>
          <w:color w:val="1F1F1F"/>
          <w:sz w:val="22"/>
          <w:szCs w:val="22"/>
        </w:rPr>
        <w:t xml:space="preserve">Slicers: Platform, Campaign Type, Date Range, Segment</w:t>
      </w:r>
    </w:p>
    <w:p>
      <w:pPr>
        <w:spacing w:before="40" w:after="40"/>
      </w:pPr>
    </w:p>
    <w:p>
      <w:pPr>
        <w:pStyle w:val="Heading2"/>
        <w:spacing w:before="240" w:after="120"/>
      </w:pPr>
      <w:r>
        <w:rPr>
          <w:rFonts w:ascii="Arial" w:cs="Arial" w:eastAsia="Arial" w:hAnsi="Arial"/>
          <w:b/>
          <w:bCs/>
          <w:color w:val="2E75B6"/>
          <w:sz w:val="24"/>
          <w:szCs w:val="24"/>
        </w:rPr>
        <w:t xml:space="preserve">Key DAX measures</w:t>
      </w:r>
    </w:p>
    <w:p>
      <w:pPr>
        <w:spacing w:before="60" w:after="60"/>
        <w:ind w:left="720"/>
      </w:pPr>
      <w:r>
        <w:rPr>
          <w:rFonts w:ascii="Courier New" w:cs="Courier New" w:eastAsia="Courier New" w:hAnsi="Courier New"/>
          <w:color w:val="C00000"/>
          <w:sz w:val="20"/>
          <w:szCs w:val="20"/>
        </w:rPr>
        <w:t xml:space="preserve">Avg ROAS = AVERAGE(campaigns[ROAS])</w:t>
      </w:r>
    </w:p>
    <w:p>
      <w:pPr>
        <w:spacing w:before="60" w:after="60"/>
        <w:ind w:left="720"/>
      </w:pPr>
      <w:r>
        <w:rPr>
          <w:rFonts w:ascii="Courier New" w:cs="Courier New" w:eastAsia="Courier New" w:hAnsi="Courier New"/>
          <w:color w:val="C00000"/>
          <w:sz w:val="20"/>
          <w:szCs w:val="20"/>
        </w:rPr>
        <w:t xml:space="preserve">Revenue at Risk = SUMX(FILTER(campaigns, campaigns[Segment]="At-Risk"),</w:t>
      </w:r>
    </w:p>
    <w:p>
      <w:pPr>
        <w:spacing w:before="60" w:after="60"/>
        <w:ind w:left="720"/>
      </w:pPr>
      <w:r>
        <w:rPr>
          <w:rFonts w:ascii="Courier New" w:cs="Courier New" w:eastAsia="Courier New" w:hAnsi="Courier New"/>
          <w:color w:val="C00000"/>
          <w:sz w:val="20"/>
          <w:szCs w:val="20"/>
        </w:rPr>
        <w:t xml:space="preserve">    campaigns[Spend] * (3.0 - campaigns[ROAS]))</w:t>
      </w:r>
    </w:p>
    <w:p>
      <w:pPr>
        <w:spacing w:before="60" w:after="60"/>
        <w:ind w:left="720"/>
      </w:pPr>
      <w:r>
        <w:rPr>
          <w:rFonts w:ascii="Courier New" w:cs="Courier New" w:eastAsia="Courier New" w:hAnsi="Courier New"/>
          <w:color w:val="C00000"/>
          <w:sz w:val="20"/>
          <w:szCs w:val="20"/>
        </w:rPr>
        <w:t xml:space="preserve">CTR Above Median = COUNTROWS(FILTER(campaigns, campaigns[CTR] &gt; [Median CTR]))</w:t>
      </w:r>
    </w:p>
    <w:p>
      <w:pPr>
        <w:spacing w:before="40" w:after="4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9. Repository Structure</w:t>
      </w:r>
    </w:p>
    <w:p>
      <w:pPr>
        <w:spacing w:before="60" w:after="60"/>
        <w:ind w:left="720"/>
      </w:pPr>
      <w:r>
        <w:rPr>
          <w:rFonts w:ascii="Courier New" w:cs="Courier New" w:eastAsia="Courier New" w:hAnsi="Courier New"/>
          <w:color w:val="C00000"/>
          <w:sz w:val="20"/>
          <w:szCs w:val="20"/>
        </w:rPr>
        <w:t xml:space="preserve">social-media-campaign-analytics/</w:t>
      </w:r>
    </w:p>
    <w:p>
      <w:pPr>
        <w:spacing w:before="60" w:after="60"/>
        <w:ind w:left="720"/>
      </w:pPr>
      <w:r>
        <w:rPr>
          <w:rFonts w:ascii="Courier New" w:cs="Courier New" w:eastAsia="Courier New" w:hAnsi="Courier New"/>
          <w:color w:val="C00000"/>
          <w:sz w:val="20"/>
          <w:szCs w:val="20"/>
        </w:rPr>
        <w:t xml:space="preserve">├── data/</w:t>
      </w:r>
    </w:p>
    <w:p>
      <w:pPr>
        <w:spacing w:before="60" w:after="60"/>
        <w:ind w:left="720"/>
      </w:pPr>
      <w:r>
        <w:rPr>
          <w:rFonts w:ascii="Courier New" w:cs="Courier New" w:eastAsia="Courier New" w:hAnsi="Courier New"/>
          <w:color w:val="C00000"/>
          <w:sz w:val="20"/>
          <w:szCs w:val="20"/>
        </w:rPr>
        <w:t xml:space="preserve">│   ├── raw/</w:t>
      </w:r>
    </w:p>
    <w:p>
      <w:pPr>
        <w:spacing w:before="60" w:after="60"/>
        <w:ind w:left="720"/>
      </w:pPr>
      <w:r>
        <w:rPr>
          <w:rFonts w:ascii="Courier New" w:cs="Courier New" w:eastAsia="Courier New" w:hAnsi="Courier New"/>
          <w:color w:val="C00000"/>
          <w:sz w:val="20"/>
          <w:szCs w:val="20"/>
        </w:rPr>
        <w:t xml:space="preserve">│   │   └── marketing_campaign_performance.csv</w:t>
      </w:r>
    </w:p>
    <w:p>
      <w:pPr>
        <w:spacing w:before="60" w:after="60"/>
        <w:ind w:left="720"/>
      </w:pPr>
      <w:r>
        <w:rPr>
          <w:rFonts w:ascii="Courier New" w:cs="Courier New" w:eastAsia="Courier New" w:hAnsi="Courier New"/>
          <w:color w:val="C00000"/>
          <w:sz w:val="20"/>
          <w:szCs w:val="20"/>
        </w:rPr>
        <w:t xml:space="preserve">│   └── cleaned/</w:t>
      </w:r>
    </w:p>
    <w:p>
      <w:pPr>
        <w:spacing w:before="60" w:after="60"/>
        <w:ind w:left="720"/>
      </w:pPr>
      <w:r>
        <w:rPr>
          <w:rFonts w:ascii="Courier New" w:cs="Courier New" w:eastAsia="Courier New" w:hAnsi="Courier New"/>
          <w:color w:val="C00000"/>
          <w:sz w:val="20"/>
          <w:szCs w:val="20"/>
        </w:rPr>
        <w:t xml:space="preserve">│       └── campaigns_cleaned.csv</w:t>
      </w:r>
    </w:p>
    <w:p>
      <w:pPr>
        <w:spacing w:before="60" w:after="60"/>
        <w:ind w:left="720"/>
      </w:pPr>
      <w:r>
        <w:rPr>
          <w:rFonts w:ascii="Courier New" w:cs="Courier New" w:eastAsia="Courier New" w:hAnsi="Courier New"/>
          <w:color w:val="C00000"/>
          <w:sz w:val="20"/>
          <w:szCs w:val="20"/>
        </w:rPr>
        <w:t xml:space="preserve">├── notebooks/</w:t>
      </w:r>
    </w:p>
    <w:p>
      <w:pPr>
        <w:spacing w:before="60" w:after="60"/>
        <w:ind w:left="720"/>
      </w:pPr>
      <w:r>
        <w:rPr>
          <w:rFonts w:ascii="Courier New" w:cs="Courier New" w:eastAsia="Courier New" w:hAnsi="Courier New"/>
          <w:color w:val="C00000"/>
          <w:sz w:val="20"/>
          <w:szCs w:val="20"/>
        </w:rPr>
        <w:t xml:space="preserve">│   ├── 01_data_cleaning.ipynb</w:t>
      </w:r>
    </w:p>
    <w:p>
      <w:pPr>
        <w:spacing w:before="60" w:after="60"/>
        <w:ind w:left="720"/>
      </w:pPr>
      <w:r>
        <w:rPr>
          <w:rFonts w:ascii="Courier New" w:cs="Courier New" w:eastAsia="Courier New" w:hAnsi="Courier New"/>
          <w:color w:val="C00000"/>
          <w:sz w:val="20"/>
          <w:szCs w:val="20"/>
        </w:rPr>
        <w:t xml:space="preserve">│   ├── 02_eda.ipynb</w:t>
      </w:r>
    </w:p>
    <w:p>
      <w:pPr>
        <w:spacing w:before="60" w:after="60"/>
        <w:ind w:left="720"/>
      </w:pPr>
      <w:r>
        <w:rPr>
          <w:rFonts w:ascii="Courier New" w:cs="Courier New" w:eastAsia="Courier New" w:hAnsi="Courier New"/>
          <w:color w:val="C00000"/>
          <w:sz w:val="20"/>
          <w:szCs w:val="20"/>
        </w:rPr>
        <w:t xml:space="preserve">│   ├── 03_ab_testing.ipynb</w:t>
      </w:r>
    </w:p>
    <w:p>
      <w:pPr>
        <w:spacing w:before="60" w:after="60"/>
        <w:ind w:left="720"/>
      </w:pPr>
      <w:r>
        <w:rPr>
          <w:rFonts w:ascii="Courier New" w:cs="Courier New" w:eastAsia="Courier New" w:hAnsi="Courier New"/>
          <w:color w:val="C00000"/>
          <w:sz w:val="20"/>
          <w:szCs w:val="20"/>
        </w:rPr>
        <w:t xml:space="preserve">│   ├── 04_audience_segmentation.ipynb</w:t>
      </w:r>
    </w:p>
    <w:p>
      <w:pPr>
        <w:spacing w:before="60" w:after="60"/>
        <w:ind w:left="720"/>
      </w:pPr>
      <w:r>
        <w:rPr>
          <w:rFonts w:ascii="Courier New" w:cs="Courier New" w:eastAsia="Courier New" w:hAnsi="Courier New"/>
          <w:color w:val="C00000"/>
          <w:sz w:val="20"/>
          <w:szCs w:val="20"/>
        </w:rPr>
        <w:t xml:space="preserve">│   ├── 05_ctr_prediction.ipynb</w:t>
      </w:r>
    </w:p>
    <w:p>
      <w:pPr>
        <w:spacing w:before="60" w:after="60"/>
        <w:ind w:left="720"/>
      </w:pPr>
      <w:r>
        <w:rPr>
          <w:rFonts w:ascii="Courier New" w:cs="Courier New" w:eastAsia="Courier New" w:hAnsi="Courier New"/>
          <w:color w:val="C00000"/>
          <w:sz w:val="20"/>
          <w:szCs w:val="20"/>
        </w:rPr>
        <w:t xml:space="preserve">│   └── 06_attribution.ipynb</w:t>
      </w:r>
    </w:p>
    <w:p>
      <w:pPr>
        <w:spacing w:before="60" w:after="60"/>
        <w:ind w:left="720"/>
      </w:pPr>
      <w:r>
        <w:rPr>
          <w:rFonts w:ascii="Courier New" w:cs="Courier New" w:eastAsia="Courier New" w:hAnsi="Courier New"/>
          <w:color w:val="C00000"/>
          <w:sz w:val="20"/>
          <w:szCs w:val="20"/>
        </w:rPr>
        <w:t xml:space="preserve">├── MsExcel_Dashboard/</w:t>
      </w:r>
    </w:p>
    <w:p>
      <w:pPr>
        <w:spacing w:before="60" w:after="60"/>
        <w:ind w:left="720"/>
      </w:pPr>
      <w:r>
        <w:rPr>
          <w:rFonts w:ascii="Courier New" w:cs="Courier New" w:eastAsia="Courier New" w:hAnsi="Courier New"/>
          <w:color w:val="C00000"/>
          <w:sz w:val="20"/>
          <w:szCs w:val="20"/>
        </w:rPr>
        <w:t xml:space="preserve">│   └── SocialMedia_Campaign_Analytics.xlsx</w:t>
      </w:r>
    </w:p>
    <w:p>
      <w:pPr>
        <w:spacing w:before="60" w:after="60"/>
        <w:ind w:left="720"/>
      </w:pPr>
      <w:r>
        <w:rPr>
          <w:rFonts w:ascii="Courier New" w:cs="Courier New" w:eastAsia="Courier New" w:hAnsi="Courier New"/>
          <w:color w:val="C00000"/>
          <w:sz w:val="20"/>
          <w:szCs w:val="20"/>
        </w:rPr>
        <w:t xml:space="preserve">├── Powerbi_dashboard/</w:t>
      </w:r>
    </w:p>
    <w:p>
      <w:pPr>
        <w:spacing w:before="60" w:after="60"/>
        <w:ind w:left="720"/>
      </w:pPr>
      <w:r>
        <w:rPr>
          <w:rFonts w:ascii="Courier New" w:cs="Courier New" w:eastAsia="Courier New" w:hAnsi="Courier New"/>
          <w:color w:val="C00000"/>
          <w:sz w:val="20"/>
          <w:szCs w:val="20"/>
        </w:rPr>
        <w:t xml:space="preserve">│   └── SocialMedia_Dashboard.pbix</w:t>
      </w:r>
    </w:p>
    <w:p>
      <w:pPr>
        <w:spacing w:before="60" w:after="60"/>
        <w:ind w:left="720"/>
      </w:pPr>
      <w:r>
        <w:rPr>
          <w:rFonts w:ascii="Courier New" w:cs="Courier New" w:eastAsia="Courier New" w:hAnsi="Courier New"/>
          <w:color w:val="C00000"/>
          <w:sz w:val="20"/>
          <w:szCs w:val="20"/>
        </w:rPr>
        <w:t xml:space="preserve">├── visualizations/</w:t>
      </w:r>
    </w:p>
    <w:p>
      <w:pPr>
        <w:spacing w:before="60" w:after="60"/>
        <w:ind w:left="720"/>
      </w:pPr>
      <w:r>
        <w:rPr>
          <w:rFonts w:ascii="Courier New" w:cs="Courier New" w:eastAsia="Courier New" w:hAnsi="Courier New"/>
          <w:color w:val="C00000"/>
          <w:sz w:val="20"/>
          <w:szCs w:val="20"/>
        </w:rPr>
        <w:t xml:space="preserve">├── data/DATASET.md</w:t>
      </w:r>
    </w:p>
    <w:p>
      <w:pPr>
        <w:spacing w:before="60" w:after="60"/>
        <w:ind w:left="720"/>
      </w:pPr>
      <w:r>
        <w:rPr>
          <w:rFonts w:ascii="Courier New" w:cs="Courier New" w:eastAsia="Courier New" w:hAnsi="Courier New"/>
          <w:color w:val="C00000"/>
          <w:sz w:val="20"/>
          <w:szCs w:val="20"/>
        </w:rPr>
        <w:t xml:space="preserve">├── requirements.txt</w:t>
      </w:r>
    </w:p>
    <w:p>
      <w:pPr>
        <w:spacing w:before="60" w:after="60"/>
        <w:ind w:left="720"/>
      </w:pPr>
      <w:r>
        <w:rPr>
          <w:rFonts w:ascii="Courier New" w:cs="Courier New" w:eastAsia="Courier New" w:hAnsi="Courier New"/>
          <w:color w:val="C00000"/>
          <w:sz w:val="20"/>
          <w:szCs w:val="20"/>
        </w:rPr>
        <w:t xml:space="preserve">└── README.md</w:t>
      </w:r>
    </w:p>
    <w:p>
      <w:pPr>
        <w:spacing w:before="40" w:after="4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10. How To Run</w:t>
      </w:r>
    </w:p>
    <w:p>
      <w:pPr>
        <w:pStyle w:val="Heading2"/>
        <w:spacing w:before="240" w:after="120"/>
      </w:pPr>
      <w:r>
        <w:rPr>
          <w:rFonts w:ascii="Arial" w:cs="Arial" w:eastAsia="Arial" w:hAnsi="Arial"/>
          <w:b/>
          <w:bCs/>
          <w:color w:val="2E75B6"/>
          <w:sz w:val="24"/>
          <w:szCs w:val="24"/>
        </w:rPr>
        <w:t xml:space="preserve">Install dependencies</w:t>
      </w:r>
    </w:p>
    <w:p>
      <w:pPr>
        <w:spacing w:before="60" w:after="60"/>
        <w:ind w:left="720"/>
      </w:pPr>
      <w:r>
        <w:rPr>
          <w:rFonts w:ascii="Courier New" w:cs="Courier New" w:eastAsia="Courier New" w:hAnsi="Courier New"/>
          <w:color w:val="C00000"/>
          <w:sz w:val="20"/>
          <w:szCs w:val="20"/>
        </w:rPr>
        <w:t xml:space="preserve">pip install -r requirements.txt</w:t>
      </w:r>
    </w:p>
    <w:p>
      <w:pPr>
        <w:spacing w:before="40" w:after="40"/>
      </w:pPr>
    </w:p>
    <w:p>
      <w:pPr>
        <w:pStyle w:val="Heading2"/>
        <w:spacing w:before="240" w:after="120"/>
      </w:pPr>
      <w:r>
        <w:rPr>
          <w:rFonts w:ascii="Arial" w:cs="Arial" w:eastAsia="Arial" w:hAnsi="Arial"/>
          <w:b/>
          <w:bCs/>
          <w:color w:val="2E75B6"/>
          <w:sz w:val="24"/>
          <w:szCs w:val="24"/>
        </w:rPr>
        <w:t xml:space="preserve">Get the dataset</w:t>
      </w:r>
    </w:p>
    <w:p>
      <w:pPr>
        <w:spacing w:before="80" w:after="120"/>
      </w:pPr>
      <w:r>
        <w:rPr>
          <w:rFonts w:ascii="Arial" w:cs="Arial" w:eastAsia="Arial" w:hAnsi="Arial"/>
          <w:color w:val="1F1F1F"/>
          <w:sz w:val="22"/>
          <w:szCs w:val="22"/>
        </w:rPr>
        <w:t xml:space="preserve">Download the CSV from the Kaggle link in Section 2 and place it in data/raw/. The cleaning notebook handles everything from there — no manual preprocessing needed.</w:t>
      </w:r>
    </w:p>
    <w:p>
      <w:pPr>
        <w:spacing w:before="40" w:after="40"/>
      </w:pPr>
    </w:p>
    <w:p>
      <w:pPr>
        <w:pStyle w:val="Heading2"/>
        <w:spacing w:before="240" w:after="120"/>
      </w:pPr>
      <w:r>
        <w:rPr>
          <w:rFonts w:ascii="Arial" w:cs="Arial" w:eastAsia="Arial" w:hAnsi="Arial"/>
          <w:b/>
          <w:bCs/>
          <w:color w:val="2E75B6"/>
          <w:sz w:val="24"/>
          <w:szCs w:val="24"/>
        </w:rPr>
        <w:t xml:space="preserve">Run notebooks in order</w:t>
      </w:r>
    </w:p>
    <w:p>
      <w:pPr>
        <w:pStyle w:val="ListParagraph"/>
        <w:numPr>
          <w:ilvl w:val="0"/>
          <w:numId w:val="2"/>
        </w:numPr>
        <w:spacing w:before="40" w:after="40"/>
      </w:pPr>
      <w:r>
        <w:rPr>
          <w:rFonts w:ascii="Arial" w:cs="Arial" w:eastAsia="Arial" w:hAnsi="Arial"/>
          <w:b w:val="false"/>
          <w:bCs w:val="false"/>
          <w:color w:val="1F1F1F"/>
          <w:sz w:val="22"/>
          <w:szCs w:val="22"/>
        </w:rPr>
        <w:t xml:space="preserve">01_data_cleaning.ipynb — cleaning, derived metrics, feature engineering</w:t>
      </w:r>
    </w:p>
    <w:p>
      <w:pPr>
        <w:pStyle w:val="ListParagraph"/>
        <w:numPr>
          <w:ilvl w:val="0"/>
          <w:numId w:val="2"/>
        </w:numPr>
        <w:spacing w:before="40" w:after="40"/>
      </w:pPr>
      <w:r>
        <w:rPr>
          <w:rFonts w:ascii="Arial" w:cs="Arial" w:eastAsia="Arial" w:hAnsi="Arial"/>
          <w:b w:val="false"/>
          <w:bCs w:val="false"/>
          <w:color w:val="1F1F1F"/>
          <w:sz w:val="22"/>
          <w:szCs w:val="22"/>
        </w:rPr>
        <w:t xml:space="preserve">02_eda.ipynb — platform analysis, CTR and ROAS breakdowns, visualizations</w:t>
      </w:r>
    </w:p>
    <w:p>
      <w:pPr>
        <w:pStyle w:val="ListParagraph"/>
        <w:numPr>
          <w:ilvl w:val="0"/>
          <w:numId w:val="2"/>
        </w:numPr>
        <w:spacing w:before="40" w:after="40"/>
      </w:pPr>
      <w:r>
        <w:rPr>
          <w:rFonts w:ascii="Arial" w:cs="Arial" w:eastAsia="Arial" w:hAnsi="Arial"/>
          <w:b w:val="false"/>
          <w:bCs w:val="false"/>
          <w:color w:val="1F1F1F"/>
          <w:sz w:val="22"/>
          <w:szCs w:val="22"/>
        </w:rPr>
        <w:t xml:space="preserve">03_ab_testing.ipynb — variant pairing, t-tests, significance flags</w:t>
      </w:r>
    </w:p>
    <w:p>
      <w:pPr>
        <w:pStyle w:val="ListParagraph"/>
        <w:numPr>
          <w:ilvl w:val="0"/>
          <w:numId w:val="2"/>
        </w:numPr>
        <w:spacing w:before="40" w:after="40"/>
      </w:pPr>
      <w:r>
        <w:rPr>
          <w:rFonts w:ascii="Arial" w:cs="Arial" w:eastAsia="Arial" w:hAnsi="Arial"/>
          <w:b w:val="false"/>
          <w:bCs w:val="false"/>
          <w:color w:val="1F1F1F"/>
          <w:sz w:val="22"/>
          <w:szCs w:val="22"/>
        </w:rPr>
        <w:t xml:space="preserve">04_audience_segmentation.ipynb — KMeans, elbow method, cluster profiles</w:t>
      </w:r>
    </w:p>
    <w:p>
      <w:pPr>
        <w:pStyle w:val="ListParagraph"/>
        <w:numPr>
          <w:ilvl w:val="0"/>
          <w:numId w:val="2"/>
        </w:numPr>
        <w:spacing w:before="40" w:after="40"/>
      </w:pPr>
      <w:r>
        <w:rPr>
          <w:rFonts w:ascii="Arial" w:cs="Arial" w:eastAsia="Arial" w:hAnsi="Arial"/>
          <w:b w:val="false"/>
          <w:bCs w:val="false"/>
          <w:color w:val="1F1F1F"/>
          <w:sz w:val="22"/>
          <w:szCs w:val="22"/>
        </w:rPr>
        <w:t xml:space="preserve">05_ctr_prediction.ipynb — logistic regression, feature importance</w:t>
      </w:r>
    </w:p>
    <w:p>
      <w:pPr>
        <w:pStyle w:val="ListParagraph"/>
        <w:numPr>
          <w:ilvl w:val="0"/>
          <w:numId w:val="2"/>
        </w:numPr>
        <w:spacing w:before="40" w:after="40"/>
      </w:pPr>
      <w:r>
        <w:rPr>
          <w:rFonts w:ascii="Arial" w:cs="Arial" w:eastAsia="Arial" w:hAnsi="Arial"/>
          <w:b w:val="false"/>
          <w:bCs w:val="false"/>
          <w:color w:val="1F1F1F"/>
          <w:sz w:val="22"/>
          <w:szCs w:val="22"/>
        </w:rPr>
        <w:t xml:space="preserve">06_attribution.ipynb — first-touch vs last-touch attribution model</w:t>
      </w:r>
    </w:p>
    <w:p>
      <w:pPr>
        <w:spacing w:before="40" w:after="40"/>
      </w:pPr>
    </w:p>
    <w:p>
      <w:pPr>
        <w:pStyle w:val="Heading2"/>
        <w:spacing w:before="240" w:after="120"/>
      </w:pPr>
      <w:r>
        <w:rPr>
          <w:rFonts w:ascii="Arial" w:cs="Arial" w:eastAsia="Arial" w:hAnsi="Arial"/>
          <w:b/>
          <w:bCs/>
          <w:color w:val="2E75B6"/>
          <w:sz w:val="24"/>
          <w:szCs w:val="24"/>
        </w:rPr>
        <w:t xml:space="preserve">Open Power BI dashboard</w:t>
      </w:r>
    </w:p>
    <w:p>
      <w:pPr>
        <w:spacing w:before="80" w:after="120"/>
      </w:pPr>
      <w:r>
        <w:rPr>
          <w:rFonts w:ascii="Arial" w:cs="Arial" w:eastAsia="Arial" w:hAnsi="Arial"/>
          <w:color w:val="1F1F1F"/>
          <w:sz w:val="22"/>
          <w:szCs w:val="22"/>
        </w:rPr>
        <w:t xml:space="preserve">Open Powerbi_dashboard/SocialMedia_Dashboard.pbix in Power BI Desktop. Click Transform Data if you need to update the data source path to match your local file location.</w:t>
      </w:r>
    </w:p>
    <w:p>
      <w:pPr>
        <w:spacing w:before="40" w:after="4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Author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Name</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Ashutosh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Email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ashutoshknp12@gmail.com</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LinkedIn</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linkedin.com/in/ashutosh1975271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GitHub</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F1F1F"/>
                <w:sz w:val="20"/>
                <w:szCs w:val="20"/>
              </w:rPr>
              <w:t xml:space="preserve">github.com/Ashutosh-AIBOT</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Portfolio</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1F1F1F"/>
                <w:sz w:val="20"/>
                <w:szCs w:val="20"/>
              </w:rPr>
              <w:t xml:space="preserve">ashutosh-portfolio-kappa.vercel.app</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6"/>
        <w:szCs w:val="16"/>
      </w:rPr>
      <w:t xml:space="preserve">Ashutosh  |  ashutoshknp12@gmail.com  |  linkedin.com/in/ashutosh1975271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Social Media Campaign Analytics</w:t>
    </w:r>
    <w:r>
      <w:rPr>
        <w:rFonts w:ascii="Arial" w:cs="Arial" w:eastAsia="Arial" w:hAnsi="Arial"/>
        <w:color w:val="888888"/>
        <w:sz w:val="18"/>
        <w:szCs w:val="18"/>
      </w:rPr>
      <w:t xml:space="preserve">    |    github.com/Ashutosh-AIBOT/social-media-campaign-analytics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2026-03-22T12:24:44.058Z</dcterms:created>
  <dcterms:modified xsi:type="dcterms:W3CDTF">2026-03-22T12:24:44.059Z</dcterms:modified>
</cp:coreProperties>
</file>

<file path=docProps/custom.xml><?xml version="1.0" encoding="utf-8"?>
<Properties xmlns="http://schemas.openxmlformats.org/officeDocument/2006/custom-properties" xmlns:vt="http://schemas.openxmlformats.org/officeDocument/2006/docPropsVTypes"/>
</file>