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0ACC5E" w14:textId="72538F59" w:rsidR="00126C80" w:rsidRPr="00EA02AA" w:rsidRDefault="00365DB1" w:rsidP="00126C80">
      <w:pPr>
        <w:pStyle w:val="NormalWeb"/>
        <w:spacing w:before="0" w:beforeAutospacing="0" w:after="0" w:afterAutospacing="0"/>
        <w:jc w:val="center"/>
        <w:rPr>
          <w:b/>
          <w:bCs/>
          <w:sz w:val="36"/>
          <w:szCs w:val="36"/>
        </w:rPr>
      </w:pPr>
      <w:r>
        <w:rPr>
          <w:b/>
          <w:bCs/>
          <w:sz w:val="36"/>
          <w:szCs w:val="36"/>
        </w:rPr>
        <w:t>BCSE306L</w:t>
      </w:r>
      <w:r w:rsidR="00126C80" w:rsidRPr="00EA02AA">
        <w:rPr>
          <w:b/>
          <w:bCs/>
          <w:sz w:val="36"/>
          <w:szCs w:val="36"/>
        </w:rPr>
        <w:t xml:space="preserve"> </w:t>
      </w:r>
      <w:r>
        <w:rPr>
          <w:b/>
          <w:bCs/>
          <w:sz w:val="36"/>
          <w:szCs w:val="36"/>
        </w:rPr>
        <w:t>Artificial Intelligence</w:t>
      </w:r>
    </w:p>
    <w:p w14:paraId="7E4EF189" w14:textId="77777777" w:rsidR="00126C80" w:rsidRPr="00EA02AA" w:rsidRDefault="00126C80" w:rsidP="00126C80">
      <w:pPr>
        <w:jc w:val="center"/>
        <w:rPr>
          <w:bCs/>
          <w:sz w:val="32"/>
          <w:szCs w:val="32"/>
        </w:rPr>
      </w:pPr>
    </w:p>
    <w:p w14:paraId="3595083C" w14:textId="23AE1689" w:rsidR="00126C80" w:rsidRPr="00EA02AA" w:rsidRDefault="00126C80" w:rsidP="00126C80">
      <w:pPr>
        <w:jc w:val="center"/>
        <w:rPr>
          <w:bCs/>
          <w:sz w:val="32"/>
          <w:szCs w:val="32"/>
        </w:rPr>
      </w:pPr>
      <w:r w:rsidRPr="00EA02AA">
        <w:rPr>
          <w:bCs/>
          <w:sz w:val="32"/>
          <w:szCs w:val="32"/>
        </w:rPr>
        <w:t xml:space="preserve">PROJECT REPORT </w:t>
      </w:r>
    </w:p>
    <w:p w14:paraId="3169BC31" w14:textId="77777777" w:rsidR="00126C80" w:rsidRPr="00EA02AA" w:rsidRDefault="00126C80" w:rsidP="00126C80">
      <w:pPr>
        <w:jc w:val="center"/>
        <w:rPr>
          <w:bCs/>
          <w:sz w:val="32"/>
          <w:szCs w:val="32"/>
        </w:rPr>
      </w:pPr>
      <w:proofErr w:type="gramStart"/>
      <w:r w:rsidRPr="00EA02AA">
        <w:rPr>
          <w:bCs/>
          <w:sz w:val="32"/>
          <w:szCs w:val="32"/>
        </w:rPr>
        <w:t>on</w:t>
      </w:r>
      <w:proofErr w:type="gramEnd"/>
    </w:p>
    <w:p w14:paraId="406567D6" w14:textId="1A6F5AC2" w:rsidR="00126C80" w:rsidRPr="00EA02AA" w:rsidRDefault="00126C80" w:rsidP="00126C80">
      <w:pPr>
        <w:pStyle w:val="Subtitle"/>
        <w:rPr>
          <w:rFonts w:ascii="Times New Roman" w:hAnsi="Times New Roman"/>
          <w:caps/>
        </w:rPr>
      </w:pPr>
      <w:r w:rsidRPr="00EA02AA">
        <w:rPr>
          <w:rFonts w:ascii="Times New Roman" w:hAnsi="Times New Roman"/>
          <w:szCs w:val="48"/>
        </w:rPr>
        <w:t>Label-Free Drift Detection and Selective Retraining Framework for Deployed Fraud Classifiers Under Delayed Ground Truth</w:t>
      </w:r>
      <w:r w:rsidR="00365DB1">
        <w:rPr>
          <w:rFonts w:ascii="Times New Roman" w:hAnsi="Times New Roman"/>
          <w:szCs w:val="48"/>
        </w:rPr>
      </w:r>
      <w:r w:rsidRPr="00EA02AA">
        <w:rPr>
          <w:rFonts w:ascii="Times New Roman" w:hAnsi="Times New Roman"/>
        </w:rPr>
      </w:r>
    </w:p>
    <w:p w14:paraId="0D4D53E3" w14:textId="77777777" w:rsidR="00126C80" w:rsidRPr="00EA02AA" w:rsidRDefault="00126C80" w:rsidP="00126C80">
      <w:pPr>
        <w:pStyle w:val="Author"/>
        <w:rPr>
          <w:rFonts w:ascii="Times New Roman" w:hAnsi="Times New Roman"/>
          <w:b w:val="0"/>
          <w:i/>
          <w:iCs/>
          <w:sz w:val="36"/>
          <w:szCs w:val="36"/>
        </w:rPr>
      </w:pPr>
      <w:r w:rsidRPr="00EA02AA">
        <w:rPr>
          <w:rFonts w:ascii="Times New Roman" w:hAnsi="Times New Roman"/>
          <w:b w:val="0"/>
          <w:i/>
          <w:iCs/>
          <w:sz w:val="36"/>
          <w:szCs w:val="36"/>
        </w:rPr>
        <w:t>Prepared by</w:t>
      </w:r>
    </w:p>
    <w:p w14:paraId="6A97E874" w14:textId="77777777" w:rsidR="00126C80" w:rsidRPr="00EA02AA" w:rsidRDefault="00126C80" w:rsidP="00126C80">
      <w:pPr>
        <w:pStyle w:val="Author"/>
        <w:tabs>
          <w:tab w:val="left" w:pos="1474"/>
          <w:tab w:val="center" w:pos="4394"/>
        </w:tabs>
        <w:spacing w:before="0" w:after="0" w:line="276" w:lineRule="auto"/>
        <w:rPr>
          <w:rFonts w:ascii="Times New Roman" w:hAnsi="Times New Roman"/>
          <w:bCs w:val="0"/>
          <w:sz w:val="36"/>
          <w:szCs w:val="36"/>
        </w:rPr>
      </w:pPr>
      <w:r w:rsidRPr="00EA02AA">
        <w:rPr>
          <w:rFonts w:ascii="Times New Roman" w:hAnsi="Times New Roman"/>
          <w:bCs w:val="0"/>
          <w:sz w:val="36"/>
          <w:szCs w:val="36"/>
        </w:rPr>
        <w:t>Devyani Bishnoi - 24BCI0167</w:t>
      </w:r>
      <w:proofErr w:type="spellStart"/>
      <w:r w:rsidRPr="00EA02AA">
        <w:rPr>
          <w:rFonts w:ascii="Times New Roman" w:hAnsi="Times New Roman"/>
          <w:bCs w:val="0"/>
          <w:sz w:val="36"/>
          <w:szCs w:val="36"/>
        </w:rPr>
      </w:r>
      <w:proofErr w:type="spellEnd"/>
      <w:r w:rsidRPr="00EA02AA">
        <w:rPr>
          <w:rFonts w:ascii="Times New Roman" w:hAnsi="Times New Roman"/>
          <w:bCs w:val="0"/>
          <w:sz w:val="36"/>
          <w:szCs w:val="36"/>
        </w:rPr>
      </w:r>
    </w:p>
    <w:p w14:paraId="60BDA4CC" w14:textId="77777777" w:rsidR="00126C80" w:rsidRPr="00EA02AA" w:rsidRDefault="00126C80" w:rsidP="00126C80">
      <w:pPr>
        <w:pStyle w:val="Author"/>
        <w:tabs>
          <w:tab w:val="left" w:pos="1474"/>
          <w:tab w:val="center" w:pos="4394"/>
        </w:tabs>
        <w:spacing w:before="0" w:after="0" w:line="276" w:lineRule="auto"/>
        <w:rPr>
          <w:rFonts w:ascii="Times New Roman" w:hAnsi="Times New Roman"/>
          <w:bCs w:val="0"/>
          <w:sz w:val="36"/>
          <w:szCs w:val="36"/>
        </w:rPr>
      </w:pPr>
      <w:r w:rsidRPr="00EA02AA">
        <w:rPr>
          <w:rFonts w:ascii="Times New Roman" w:hAnsi="Times New Roman"/>
          <w:bCs w:val="0"/>
          <w:sz w:val="36"/>
          <w:szCs w:val="36"/>
        </w:rPr>
        <w:t>Anshika Agarwal - 24BCE0989</w:t>
      </w:r>
      <w:proofErr w:type="spellStart"/>
      <w:r w:rsidRPr="00EA02AA">
        <w:rPr>
          <w:rFonts w:ascii="Times New Roman" w:hAnsi="Times New Roman"/>
          <w:bCs w:val="0"/>
          <w:sz w:val="36"/>
          <w:szCs w:val="36"/>
        </w:rPr>
      </w:r>
      <w:proofErr w:type="spellEnd"/>
      <w:r w:rsidRPr="00EA02AA">
        <w:rPr>
          <w:rFonts w:ascii="Times New Roman" w:hAnsi="Times New Roman"/>
          <w:bCs w:val="0"/>
          <w:sz w:val="36"/>
          <w:szCs w:val="36"/>
        </w:rPr>
      </w:r>
    </w:p>
    <w:p w14:paraId="66680D35" w14:textId="77777777" w:rsidR="00126C80" w:rsidRPr="00EA02AA" w:rsidRDefault="00126C80" w:rsidP="00126C80">
      <w:pPr>
        <w:pStyle w:val="Author"/>
        <w:tabs>
          <w:tab w:val="left" w:pos="1474"/>
          <w:tab w:val="center" w:pos="4394"/>
        </w:tabs>
        <w:spacing w:before="0" w:after="0" w:line="276" w:lineRule="auto"/>
        <w:rPr>
          <w:rFonts w:ascii="Times New Roman" w:hAnsi="Times New Roman"/>
          <w:bCs w:val="0"/>
          <w:sz w:val="36"/>
          <w:szCs w:val="36"/>
        </w:rPr>
      </w:pPr>
      <w:r w:rsidRPr="00EA02AA">
        <w:rPr>
          <w:rFonts w:ascii="Times New Roman" w:hAnsi="Times New Roman"/>
          <w:bCs w:val="0"/>
          <w:sz w:val="36"/>
          <w:szCs w:val="36"/>
        </w:rPr>
        <w:t>Hridya Sharma - 24BAI0182</w:t>
      </w:r>
      <w:proofErr w:type="spellStart"/>
      <w:r w:rsidRPr="00EA02AA">
        <w:rPr>
          <w:rFonts w:ascii="Times New Roman" w:hAnsi="Times New Roman"/>
          <w:bCs w:val="0"/>
          <w:sz w:val="36"/>
          <w:szCs w:val="36"/>
        </w:rPr>
      </w:r>
      <w:proofErr w:type="spellEnd"/>
      <w:r w:rsidRPr="00EA02AA">
        <w:rPr>
          <w:rFonts w:ascii="Times New Roman" w:hAnsi="Times New Roman"/>
          <w:bCs w:val="0"/>
          <w:sz w:val="36"/>
          <w:szCs w:val="36"/>
        </w:rPr>
      </w:r>
    </w:p>
    <w:p w14:paraId="40CFA80F" w14:textId="77777777" w:rsidR="00126C80" w:rsidRPr="00EA02AA" w:rsidRDefault="00126C80" w:rsidP="00126C80">
      <w:pPr>
        <w:pStyle w:val="BlockText"/>
        <w:spacing w:before="200" w:after="200"/>
        <w:rPr>
          <w:b/>
          <w:sz w:val="32"/>
          <w:szCs w:val="32"/>
        </w:rPr>
      </w:pPr>
    </w:p>
    <w:p w14:paraId="796F2050" w14:textId="77777777" w:rsidR="00126C80" w:rsidRPr="00EA02AA" w:rsidRDefault="00126C80" w:rsidP="00126C80">
      <w:pPr>
        <w:pStyle w:val="BlockText"/>
        <w:spacing w:before="200" w:after="200"/>
        <w:rPr>
          <w:bCs/>
          <w:i/>
          <w:iCs/>
          <w:sz w:val="32"/>
          <w:szCs w:val="32"/>
        </w:rPr>
      </w:pPr>
      <w:r w:rsidRPr="00EA02AA">
        <w:rPr>
          <w:bCs/>
          <w:i/>
          <w:iCs/>
          <w:sz w:val="32"/>
          <w:szCs w:val="32"/>
        </w:rPr>
        <w:t>Under the supervision of</w:t>
      </w:r>
    </w:p>
    <w:p w14:paraId="3737873D" w14:textId="6FCC8092" w:rsidR="00126C80" w:rsidRDefault="00126C80" w:rsidP="00126C80">
      <w:pPr>
        <w:pStyle w:val="BlockText"/>
        <w:spacing w:before="200" w:after="200"/>
        <w:rPr>
          <w:b/>
          <w:sz w:val="32"/>
          <w:szCs w:val="32"/>
        </w:rPr>
      </w:pPr>
      <w:r w:rsidRPr="00EA02AA">
        <w:rPr>
          <w:b/>
          <w:sz w:val="32"/>
          <w:szCs w:val="32"/>
        </w:rPr>
        <w:t xml:space="preserve"> </w:t>
      </w:r>
      <w:proofErr w:type="spellStart"/>
      <w:r w:rsidR="007A1711">
        <w:rPr>
          <w:b/>
          <w:sz w:val="32"/>
          <w:szCs w:val="32"/>
        </w:rPr>
        <w:t>Dr.</w:t>
      </w:r>
      <w:proofErr w:type="spellEnd"/>
      <w:r w:rsidR="007A1711">
        <w:rPr>
          <w:b/>
          <w:sz w:val="32"/>
          <w:szCs w:val="32"/>
        </w:rPr>
        <w:t xml:space="preserve"> Ramesh </w:t>
      </w:r>
      <w:proofErr w:type="spellStart"/>
      <w:r w:rsidR="007A1711">
        <w:rPr>
          <w:b/>
          <w:sz w:val="32"/>
          <w:szCs w:val="32"/>
        </w:rPr>
        <w:t>Babu</w:t>
      </w:r>
      <w:proofErr w:type="spellEnd"/>
      <w:r w:rsidR="007A1711">
        <w:rPr>
          <w:b/>
          <w:sz w:val="32"/>
          <w:szCs w:val="32"/>
        </w:rPr>
        <w:t xml:space="preserve"> </w:t>
      </w:r>
      <w:proofErr w:type="spellStart"/>
      <w:r w:rsidR="007A1711">
        <w:rPr>
          <w:b/>
          <w:sz w:val="32"/>
          <w:szCs w:val="32"/>
        </w:rPr>
        <w:t>Vemuluri</w:t>
      </w:r>
      <w:proofErr w:type="spellEnd"/>
      <w:r w:rsidR="007A1711">
        <w:rPr>
          <w:b/>
          <w:sz w:val="32"/>
          <w:szCs w:val="32"/>
        </w:rPr>
        <w:t>,</w:t>
      </w:r>
    </w:p>
    <w:p w14:paraId="684BF178" w14:textId="403BD9F1" w:rsidR="00126C80" w:rsidRPr="00EA02AA" w:rsidRDefault="007A1711" w:rsidP="00126C80">
      <w:pPr>
        <w:pStyle w:val="BlockText"/>
        <w:spacing w:before="200" w:after="200"/>
        <w:rPr>
          <w:b/>
          <w:sz w:val="32"/>
          <w:szCs w:val="32"/>
        </w:rPr>
      </w:pPr>
      <w:r>
        <w:rPr>
          <w:b/>
          <w:sz w:val="32"/>
          <w:szCs w:val="32"/>
        </w:rPr>
        <w:t>Associate Professor,</w:t>
      </w:r>
    </w:p>
    <w:p w14:paraId="447B7F48" w14:textId="77777777" w:rsidR="00126C80" w:rsidRPr="00EA02AA" w:rsidRDefault="00126C80" w:rsidP="00126C80">
      <w:pPr>
        <w:pStyle w:val="BlockText"/>
        <w:spacing w:before="200" w:after="200"/>
        <w:rPr>
          <w:b/>
          <w:sz w:val="32"/>
          <w:szCs w:val="32"/>
        </w:rPr>
      </w:pPr>
    </w:p>
    <w:p w14:paraId="50CEBC34" w14:textId="77777777" w:rsidR="00126C80" w:rsidRPr="00EA02AA" w:rsidRDefault="00126C80" w:rsidP="00126C80">
      <w:pPr>
        <w:pStyle w:val="BlockText"/>
        <w:spacing w:before="200" w:after="200"/>
        <w:rPr>
          <w:b/>
          <w:sz w:val="32"/>
          <w:szCs w:val="32"/>
        </w:rPr>
      </w:pPr>
    </w:p>
    <w:p w14:paraId="261708EF" w14:textId="21F38439" w:rsidR="00126C80" w:rsidRPr="00EA02AA" w:rsidRDefault="00126C80" w:rsidP="00126C80">
      <w:pPr>
        <w:spacing w:before="0" w:after="0"/>
        <w:jc w:val="center"/>
        <w:rPr>
          <w:sz w:val="24"/>
          <w:lang w:val="en-IN" w:eastAsia="en-GB"/>
        </w:rPr>
      </w:pPr>
      <w:r w:rsidRPr="00B310C1">
        <w:rPr>
          <w:sz w:val="24"/>
          <w:lang w:val="en-IN" w:eastAsia="en-GB"/>
        </w:rPr>
        <w:fldChar w:fldCharType="begin"/>
      </w:r>
      <w:r w:rsidR="00DE5D5D">
        <w:rPr>
          <w:sz w:val="24"/>
          <w:lang w:val="en-IN" w:eastAsia="en-GB"/>
        </w:rPr>
        <w:instrText xml:space="preserve"> INCLUDEPICTURE "E:\\var\\folders\\dd\\t5_g28g97_x5llh02xnv4yqc0000gn\\T\\com.microsoft.Word\\WebArchiveCopyPasteTempFiles\\vit_logo-2.jpg" \* MERGEFORMAT </w:instrText>
      </w:r>
      <w:r w:rsidRPr="00B310C1">
        <w:rPr>
          <w:sz w:val="24"/>
          <w:lang w:val="en-IN" w:eastAsia="en-GB"/>
        </w:rPr>
        <w:fldChar w:fldCharType="separate"/>
      </w:r>
      <w:r w:rsidRPr="00EA02AA">
        <w:rPr>
          <w:noProof/>
          <w:sz w:val="24"/>
          <w:lang w:val="en-IN" w:eastAsia="en-IN" w:bidi="te-IN"/>
        </w:rPr>
        <w:drawing>
          <wp:inline distT="0" distB="0" distL="0" distR="0" wp14:anchorId="3D439CFD" wp14:editId="65EA7105">
            <wp:extent cx="3508465" cy="1100288"/>
            <wp:effectExtent l="0" t="0" r="0" b="0"/>
            <wp:docPr id="6" name="Picture 6" descr="ic-ETITE'20 | Hom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ic-ETITE'20 | Home"/>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08465" cy="1100288"/>
                    </a:xfrm>
                    <a:prstGeom prst="rect">
                      <a:avLst/>
                    </a:prstGeom>
                    <a:noFill/>
                    <a:ln>
                      <a:noFill/>
                    </a:ln>
                  </pic:spPr>
                </pic:pic>
              </a:graphicData>
            </a:graphic>
          </wp:inline>
        </w:drawing>
      </w:r>
      <w:r w:rsidRPr="00B310C1">
        <w:rPr>
          <w:sz w:val="24"/>
          <w:lang w:val="en-IN" w:eastAsia="en-GB"/>
        </w:rPr>
        <w:fldChar w:fldCharType="end"/>
      </w:r>
    </w:p>
    <w:p w14:paraId="5CBE7DD5" w14:textId="77777777" w:rsidR="00126C80" w:rsidRPr="00EA02AA" w:rsidRDefault="00126C80" w:rsidP="00126C80">
      <w:pPr>
        <w:spacing w:before="0" w:after="0"/>
        <w:rPr>
          <w:sz w:val="24"/>
          <w:lang w:val="en-IN" w:eastAsia="en-GB"/>
        </w:rPr>
      </w:pPr>
    </w:p>
    <w:p w14:paraId="12EE3963" w14:textId="77777777" w:rsidR="00126C80" w:rsidRPr="00EA02AA" w:rsidRDefault="00126C80" w:rsidP="00126C80">
      <w:pPr>
        <w:pStyle w:val="NormalWeb"/>
        <w:spacing w:before="0" w:beforeAutospacing="0" w:after="0" w:afterAutospacing="0"/>
        <w:jc w:val="center"/>
        <w:rPr>
          <w:sz w:val="32"/>
          <w:szCs w:val="32"/>
        </w:rPr>
      </w:pPr>
      <w:r w:rsidRPr="00EA02AA">
        <w:rPr>
          <w:sz w:val="32"/>
          <w:szCs w:val="32"/>
        </w:rPr>
        <w:t>School of Computer Science and Engineering</w:t>
      </w:r>
    </w:p>
    <w:p w14:paraId="581C38BF" w14:textId="77777777" w:rsidR="00126C80" w:rsidRPr="00EA02AA" w:rsidRDefault="00126C80" w:rsidP="00126C80">
      <w:pPr>
        <w:pStyle w:val="NormalWeb"/>
        <w:spacing w:before="0" w:beforeAutospacing="0" w:after="0" w:afterAutospacing="0"/>
        <w:jc w:val="center"/>
        <w:rPr>
          <w:sz w:val="32"/>
          <w:szCs w:val="32"/>
        </w:rPr>
      </w:pPr>
      <w:r w:rsidRPr="00EA02AA">
        <w:rPr>
          <w:sz w:val="32"/>
          <w:szCs w:val="32"/>
        </w:rPr>
        <w:t>Vellore Institute of Technology, Vellore.</w:t>
      </w:r>
    </w:p>
    <w:p w14:paraId="4DB9D08D" w14:textId="77777777" w:rsidR="00126C80" w:rsidRPr="00EA02AA" w:rsidRDefault="00126C80" w:rsidP="00126C80">
      <w:pPr>
        <w:pStyle w:val="NormalWeb"/>
        <w:spacing w:before="0" w:beforeAutospacing="0" w:after="0" w:afterAutospacing="0"/>
        <w:jc w:val="center"/>
        <w:rPr>
          <w:b/>
          <w:bCs/>
          <w:sz w:val="36"/>
          <w:szCs w:val="36"/>
        </w:rPr>
      </w:pPr>
    </w:p>
    <w:p w14:paraId="6C8290E7" w14:textId="07FC6A54" w:rsidR="00126C80" w:rsidRPr="00EA02AA" w:rsidRDefault="00126C80" w:rsidP="00126C80">
      <w:pPr>
        <w:pStyle w:val="Dept"/>
      </w:pPr>
      <w:r w:rsidRPr="00EA02AA">
        <w:t>October 17, 2026</w:t>
      </w:r>
      <w:r w:rsidRPr="00EA02AA"/>
      <w:r w:rsidRPr="00EA02AA"/>
      <w:r w:rsidR="00745F82">
        <w:rPr>
          <w:noProof/>
        </w:rPr>
      </w:r>
      <w:r w:rsidRPr="00EA02AA"/>
      <w:r w:rsidRPr="00EA02AA"/>
    </w:p>
    <w:p w14:paraId="67FDEC65" w14:textId="77777777" w:rsidR="00126C80" w:rsidRPr="00EA02AA" w:rsidRDefault="00126C80" w:rsidP="00126C80">
      <w:pPr>
        <w:pStyle w:val="AbstractHeading"/>
        <w:outlineLvl w:val="9"/>
        <w:rPr>
          <w:rFonts w:ascii="Times New Roman" w:hAnsi="Times New Roman"/>
        </w:rPr>
      </w:pPr>
      <w:bookmarkStart w:id="0" w:name="_Toc22034052"/>
      <w:r w:rsidRPr="00EA02AA">
        <w:rPr>
          <w:rFonts w:ascii="Times New Roman" w:hAnsi="Times New Roman"/>
        </w:rPr>
        <w:lastRenderedPageBreak/>
        <w:t>Table of Contents</w:t>
      </w:r>
    </w:p>
    <w:p w14:paraId="406313CC" w14:textId="4F15762B" w:rsidR="00671B9C" w:rsidRPr="00446EA3" w:rsidRDefault="00126C80">
      <w:pPr>
        <w:pStyle w:val="TOC1"/>
        <w:rPr>
          <w:rFonts w:ascii="Times New Roman" w:eastAsiaTheme="minorEastAsia" w:hAnsi="Times New Roman"/>
          <w:bCs w:val="0"/>
          <w:noProof/>
          <w:sz w:val="24"/>
          <w:lang w:val="en-IN" w:eastAsia="en-GB"/>
        </w:rPr>
      </w:pPr>
      <w:r w:rsidRPr="00446EA3">
        <w:rPr>
          <w:rFonts w:ascii="Times New Roman" w:hAnsi="Times New Roman"/>
        </w:rPr>
        <w:fldChar w:fldCharType="begin"/>
      </w:r>
      <w:r w:rsidRPr="00446EA3">
        <w:rPr>
          <w:rFonts w:ascii="Times New Roman" w:hAnsi="Times New Roman"/>
        </w:rPr>
        <w:instrText xml:space="preserve"> TOC \h \z \t "Heading 1,1,Heading 2,2,Unnumbered Heading 1,1" </w:instrText>
      </w:r>
      <w:r w:rsidRPr="00446EA3">
        <w:rPr>
          <w:rFonts w:ascii="Times New Roman" w:hAnsi="Times New Roman"/>
        </w:rPr>
        <w:fldChar w:fldCharType="separate"/>
      </w:r>
      <w:r w:rsidR="00446EA3" w:rsidRPr="00446EA3">
        <w:rPr>
          <w:rFonts w:ascii="Times New Roman" w:hAnsi="Times New Roman"/>
        </w:rPr>
        <w:t xml:space="preserve"> Abstract</w:t>
      </w:r>
    </w:p>
    <w:p w14:paraId="33FB54F9" w14:textId="00D96029" w:rsidR="00671B9C" w:rsidRPr="00446EA3" w:rsidRDefault="005F0D98">
      <w:pPr>
        <w:pStyle w:val="TOC1"/>
        <w:rPr>
          <w:rFonts w:ascii="Times New Roman" w:eastAsiaTheme="minorEastAsia" w:hAnsi="Times New Roman"/>
          <w:bCs w:val="0"/>
          <w:noProof/>
          <w:sz w:val="24"/>
          <w:lang w:val="en-IN" w:eastAsia="en-GB"/>
        </w:rPr>
      </w:pPr>
      <w:hyperlink w:anchor="_Toc118543903" w:history="1">
        <w:r w:rsidR="00671B9C" w:rsidRPr="00446EA3">
          <w:rPr>
            <w:rStyle w:val="Hyperlink"/>
            <w:rFonts w:ascii="Times New Roman" w:hAnsi="Times New Roman"/>
            <w:noProof/>
          </w:rPr>
          <w:t xml:space="preserve">1. </w:t>
        </w:r>
        <w:r w:rsidR="00446EA3" w:rsidRPr="00446EA3">
          <w:rPr>
            <w:rFonts w:ascii="Times New Roman" w:hAnsi="Times New Roman"/>
            <w:noProof/>
          </w:rPr>
          <w:t>Introduction</w:t>
        </w:r>
        <w:r w:rsidR="00365DB1">
          <w:rPr>
            <w:rFonts w:ascii="Times New Roman" w:hAnsi="Times New Roman"/>
            <w:noProof/>
          </w:rPr>
          <w:t>, Scientific / Technical Priniciple Note,</w:t>
        </w:r>
        <w:r w:rsidR="00446EA3" w:rsidRPr="00446EA3">
          <w:rPr>
            <w:rFonts w:ascii="Times New Roman" w:hAnsi="Times New Roman"/>
            <w:noProof/>
          </w:rPr>
          <w:t xml:space="preserve"> </w:t>
        </w:r>
      </w:hyperlink>
    </w:p>
    <w:p w14:paraId="4E3927D2" w14:textId="17496932" w:rsidR="00671B9C" w:rsidRPr="00446EA3" w:rsidRDefault="005F0D98">
      <w:pPr>
        <w:pStyle w:val="TOC1"/>
        <w:rPr>
          <w:rFonts w:ascii="Times New Roman" w:eastAsiaTheme="minorEastAsia" w:hAnsi="Times New Roman"/>
          <w:bCs w:val="0"/>
          <w:noProof/>
          <w:sz w:val="24"/>
          <w:lang w:val="en-IN" w:eastAsia="en-GB"/>
        </w:rPr>
      </w:pPr>
      <w:hyperlink w:anchor="_Toc118543906" w:history="1">
        <w:r w:rsidR="00E1691C" w:rsidRPr="00446EA3">
          <w:rPr>
            <w:rStyle w:val="Hyperlink"/>
            <w:rFonts w:ascii="Times New Roman" w:hAnsi="Times New Roman"/>
            <w:noProof/>
          </w:rPr>
          <w:t>2</w:t>
        </w:r>
        <w:r w:rsidR="00671B9C" w:rsidRPr="00446EA3">
          <w:rPr>
            <w:rStyle w:val="Hyperlink"/>
            <w:rFonts w:ascii="Times New Roman" w:hAnsi="Times New Roman"/>
            <w:noProof/>
          </w:rPr>
          <w:t xml:space="preserve">. </w:t>
        </w:r>
        <w:r w:rsidR="00365DB1">
          <w:rPr>
            <w:rStyle w:val="Hyperlink"/>
            <w:rFonts w:ascii="Times New Roman" w:hAnsi="Times New Roman"/>
            <w:noProof/>
          </w:rPr>
          <w:t>Literature and Reference Log</w:t>
        </w:r>
        <w:r w:rsidR="00446EA3" w:rsidRPr="00446EA3">
          <w:rPr>
            <w:rFonts w:ascii="Times New Roman" w:hAnsi="Times New Roman"/>
            <w:noProof/>
          </w:rPr>
          <w:t xml:space="preserve"> </w:t>
        </w:r>
      </w:hyperlink>
    </w:p>
    <w:p w14:paraId="52385D61" w14:textId="5A59A115" w:rsidR="00446EA3" w:rsidRPr="00446EA3" w:rsidRDefault="00446EA3" w:rsidP="00446EA3">
      <w:pPr>
        <w:pStyle w:val="TOC1"/>
        <w:rPr>
          <w:rFonts w:ascii="Times New Roman" w:eastAsiaTheme="minorEastAsia" w:hAnsi="Times New Roman"/>
        </w:rPr>
      </w:pPr>
      <w:r w:rsidRPr="00446EA3">
        <w:rPr>
          <w:rFonts w:ascii="Times New Roman" w:hAnsi="Times New Roman"/>
        </w:rPr>
        <w:t xml:space="preserve">3. </w:t>
      </w:r>
      <w:r w:rsidR="00365DB1">
        <w:rPr>
          <w:rFonts w:ascii="Times New Roman" w:hAnsi="Times New Roman"/>
        </w:rPr>
        <w:t>Concept Sketches, Equations, and Models,</w:t>
      </w:r>
    </w:p>
    <w:p w14:paraId="0C718376" w14:textId="79362201" w:rsidR="00671B9C" w:rsidRPr="00446EA3" w:rsidRDefault="005F0D98">
      <w:pPr>
        <w:pStyle w:val="TOC1"/>
        <w:rPr>
          <w:rFonts w:ascii="Times New Roman" w:eastAsiaTheme="minorEastAsia" w:hAnsi="Times New Roman"/>
          <w:bCs w:val="0"/>
          <w:noProof/>
          <w:sz w:val="24"/>
          <w:lang w:val="en-IN" w:eastAsia="en-GB"/>
        </w:rPr>
      </w:pPr>
      <w:hyperlink w:anchor="_Toc118543911" w:history="1">
        <w:r w:rsidR="00E1691C" w:rsidRPr="00446EA3">
          <w:rPr>
            <w:rStyle w:val="Hyperlink"/>
            <w:rFonts w:ascii="Times New Roman" w:hAnsi="Times New Roman"/>
            <w:noProof/>
          </w:rPr>
          <w:t>4</w:t>
        </w:r>
        <w:r w:rsidR="00671B9C" w:rsidRPr="00446EA3">
          <w:rPr>
            <w:rStyle w:val="Hyperlink"/>
            <w:rFonts w:ascii="Times New Roman" w:hAnsi="Times New Roman"/>
            <w:noProof/>
          </w:rPr>
          <w:t xml:space="preserve">. </w:t>
        </w:r>
        <w:r w:rsidR="00365DB1">
          <w:rPr>
            <w:rStyle w:val="Hyperlink"/>
            <w:rFonts w:ascii="Times New Roman" w:hAnsi="Times New Roman"/>
            <w:noProof/>
          </w:rPr>
          <w:t>Feasibility Calculation Sheet,</w:t>
        </w:r>
      </w:hyperlink>
    </w:p>
    <w:p w14:paraId="79CCEDA7" w14:textId="0D4B169B" w:rsidR="00671B9C" w:rsidRDefault="005F0D98">
      <w:pPr>
        <w:pStyle w:val="TOC1"/>
        <w:rPr>
          <w:rStyle w:val="Hyperlink"/>
          <w:rFonts w:ascii="Times New Roman" w:hAnsi="Times New Roman"/>
          <w:noProof/>
        </w:rPr>
      </w:pPr>
      <w:hyperlink w:anchor="_Toc118543912" w:history="1">
        <w:r w:rsidR="00E1691C" w:rsidRPr="00446EA3">
          <w:rPr>
            <w:rStyle w:val="Hyperlink"/>
            <w:rFonts w:ascii="Times New Roman" w:hAnsi="Times New Roman"/>
            <w:noProof/>
          </w:rPr>
          <w:t>5</w:t>
        </w:r>
        <w:r w:rsidR="00671B9C" w:rsidRPr="00446EA3">
          <w:rPr>
            <w:rStyle w:val="Hyperlink"/>
            <w:rFonts w:ascii="Times New Roman" w:hAnsi="Times New Roman"/>
            <w:noProof/>
          </w:rPr>
          <w:t xml:space="preserve">. </w:t>
        </w:r>
        <w:r w:rsidR="00365DB1">
          <w:rPr>
            <w:rStyle w:val="Hyperlink"/>
            <w:rFonts w:ascii="Times New Roman" w:hAnsi="Times New Roman"/>
            <w:noProof/>
          </w:rPr>
          <w:t xml:space="preserve">Problem </w:t>
        </w:r>
        <w:r w:rsidR="000504D6">
          <w:rPr>
            <w:rStyle w:val="Hyperlink"/>
            <w:rFonts w:ascii="Times New Roman" w:hAnsi="Times New Roman"/>
            <w:noProof/>
          </w:rPr>
          <w:t xml:space="preserve">Statement and Objecives </w:t>
        </w:r>
      </w:hyperlink>
    </w:p>
    <w:p w14:paraId="004A3A01" w14:textId="27FA7B6B" w:rsidR="00365DB1" w:rsidRDefault="00365DB1" w:rsidP="00365DB1">
      <w:pPr>
        <w:rPr>
          <w:rFonts w:eastAsiaTheme="minorEastAsia"/>
          <w:lang w:val="en-GB"/>
        </w:rPr>
      </w:pPr>
      <w:r>
        <w:rPr>
          <w:rFonts w:eastAsiaTheme="minorEastAsia"/>
          <w:lang w:val="en-GB"/>
        </w:rPr>
        <w:t>6. Use Case and Stakeholder Definition,</w:t>
      </w:r>
    </w:p>
    <w:p w14:paraId="4F5D8D70" w14:textId="6BDBA320" w:rsidR="00365DB1" w:rsidRDefault="00365DB1" w:rsidP="00365DB1">
      <w:pPr>
        <w:rPr>
          <w:rFonts w:eastAsiaTheme="minorEastAsia"/>
          <w:lang w:val="en-GB"/>
        </w:rPr>
      </w:pPr>
      <w:r>
        <w:rPr>
          <w:rFonts w:eastAsiaTheme="minorEastAsia"/>
          <w:lang w:val="en-GB"/>
        </w:rPr>
        <w:t>7. Functional/ Performance Requirement Sheet,</w:t>
      </w:r>
    </w:p>
    <w:p w14:paraId="640DEA8C" w14:textId="7D99B0B5" w:rsidR="00365DB1" w:rsidRDefault="00365DB1" w:rsidP="00365DB1">
      <w:pPr>
        <w:rPr>
          <w:rFonts w:eastAsiaTheme="minorEastAsia"/>
          <w:lang w:val="en-GB"/>
        </w:rPr>
      </w:pPr>
      <w:r>
        <w:rPr>
          <w:rFonts w:eastAsiaTheme="minorEastAsia"/>
          <w:lang w:val="en-GB"/>
        </w:rPr>
        <w:t>8. Analytical and Desk Study Report,</w:t>
      </w:r>
    </w:p>
    <w:p w14:paraId="0C1D1115" w14:textId="6CABB081" w:rsidR="00365DB1" w:rsidRDefault="00365DB1" w:rsidP="00365DB1">
      <w:pPr>
        <w:rPr>
          <w:rFonts w:eastAsiaTheme="minorEastAsia"/>
          <w:lang w:val="en-GB"/>
        </w:rPr>
      </w:pPr>
      <w:r>
        <w:rPr>
          <w:rFonts w:eastAsiaTheme="minorEastAsia"/>
          <w:lang w:val="en-GB"/>
        </w:rPr>
        <w:t>9. Component Identification and Characterization sheet,</w:t>
      </w:r>
    </w:p>
    <w:p w14:paraId="119F3842" w14:textId="2D6F00FA" w:rsidR="00365DB1" w:rsidRDefault="00365DB1" w:rsidP="00365DB1">
      <w:pPr>
        <w:rPr>
          <w:rFonts w:eastAsiaTheme="minorEastAsia"/>
          <w:lang w:val="en-GB"/>
        </w:rPr>
      </w:pPr>
      <w:r>
        <w:rPr>
          <w:rFonts w:eastAsiaTheme="minorEastAsia"/>
          <w:lang w:val="en-GB"/>
        </w:rPr>
        <w:t xml:space="preserve">10. </w:t>
      </w:r>
      <w:r w:rsidR="007A1711">
        <w:rPr>
          <w:rFonts w:eastAsiaTheme="minorEastAsia"/>
          <w:lang w:val="en-GB"/>
        </w:rPr>
        <w:t>First-Pass Performance Prediction Document,</w:t>
      </w:r>
    </w:p>
    <w:p w14:paraId="26192361" w14:textId="23576A11" w:rsidR="007A1711" w:rsidRDefault="007A1711" w:rsidP="00365DB1">
      <w:pPr>
        <w:rPr>
          <w:rFonts w:eastAsiaTheme="minorEastAsia"/>
          <w:lang w:val="en-GB"/>
        </w:rPr>
      </w:pPr>
      <w:r>
        <w:rPr>
          <w:rFonts w:eastAsiaTheme="minorEastAsia"/>
          <w:lang w:val="en-GB"/>
        </w:rPr>
        <w:t>11. Early Simulation Output (Feasibility Evidence)</w:t>
      </w:r>
    </w:p>
    <w:p w14:paraId="13183935" w14:textId="14243BDE" w:rsidR="007A1711" w:rsidRDefault="007A1711" w:rsidP="00365DB1">
      <w:pPr>
        <w:rPr>
          <w:rFonts w:eastAsiaTheme="minorEastAsia"/>
          <w:lang w:val="en-GB"/>
        </w:rPr>
      </w:pPr>
      <w:r>
        <w:rPr>
          <w:rFonts w:eastAsiaTheme="minorEastAsia"/>
          <w:lang w:val="en-GB"/>
        </w:rPr>
        <w:t>12. Initial Qualitative Risk List,</w:t>
      </w:r>
    </w:p>
    <w:p w14:paraId="6B8CD069" w14:textId="619913AD" w:rsidR="007A1711" w:rsidRDefault="007A1711" w:rsidP="00365DB1">
      <w:pPr>
        <w:rPr>
          <w:rFonts w:eastAsiaTheme="minorEastAsia"/>
          <w:lang w:val="en-GB"/>
        </w:rPr>
      </w:pPr>
      <w:r>
        <w:rPr>
          <w:rFonts w:eastAsiaTheme="minorEastAsia"/>
          <w:lang w:val="en-GB"/>
        </w:rPr>
        <w:t>13. Lab Test/ Simulation Report for Critical Functions,</w:t>
      </w:r>
    </w:p>
    <w:p w14:paraId="4D196088" w14:textId="77455759" w:rsidR="007A1711" w:rsidRDefault="007A1711" w:rsidP="00365DB1">
      <w:pPr>
        <w:rPr>
          <w:rFonts w:eastAsiaTheme="minorEastAsia"/>
          <w:lang w:val="en-GB"/>
        </w:rPr>
      </w:pPr>
      <w:r>
        <w:rPr>
          <w:rFonts w:eastAsiaTheme="minorEastAsia"/>
          <w:lang w:val="en-GB"/>
        </w:rPr>
        <w:t>14. Analytical Model Validation Document,</w:t>
      </w:r>
    </w:p>
    <w:p w14:paraId="3A34EDDD" w14:textId="022B05E0" w:rsidR="007A1711" w:rsidRDefault="007A1711" w:rsidP="00365DB1">
      <w:pPr>
        <w:rPr>
          <w:rFonts w:eastAsiaTheme="minorEastAsia"/>
          <w:lang w:val="en-GB"/>
        </w:rPr>
      </w:pPr>
      <w:r>
        <w:rPr>
          <w:rFonts w:eastAsiaTheme="minorEastAsia"/>
          <w:lang w:val="en-GB"/>
        </w:rPr>
        <w:t>15. Conclusions,</w:t>
      </w:r>
    </w:p>
    <w:p w14:paraId="1B960CEE" w14:textId="10C57520" w:rsidR="007A1711" w:rsidRPr="00365DB1" w:rsidRDefault="007A1711" w:rsidP="00365DB1">
      <w:pPr>
        <w:rPr>
          <w:rFonts w:eastAsiaTheme="minorEastAsia"/>
          <w:lang w:val="en-GB"/>
        </w:rPr>
      </w:pPr>
      <w:r>
        <w:rPr>
          <w:rFonts w:eastAsiaTheme="minorEastAsia"/>
          <w:lang w:val="en-GB"/>
        </w:rPr>
        <w:t>16. References</w:t>
      </w:r>
    </w:p>
    <w:p w14:paraId="2C17CDBF" w14:textId="5999C42C" w:rsidR="00126C80" w:rsidRPr="00EA02AA" w:rsidRDefault="00126C80" w:rsidP="00126C80">
      <w:pPr>
        <w:jc w:val="left"/>
        <w:rPr>
          <w:lang w:val="en-GB"/>
        </w:rPr>
      </w:pPr>
      <w:r w:rsidRPr="00446EA3">
        <w:rPr>
          <w:lang w:val="en-GB"/>
        </w:rPr>
        <w:fldChar w:fldCharType="end"/>
      </w:r>
    </w:p>
    <w:p w14:paraId="283CD5C1" w14:textId="77777777" w:rsidR="00126C80" w:rsidRPr="0010087C" w:rsidRDefault="00126C80" w:rsidP="00126C80">
      <w:pPr>
        <w:pStyle w:val="UnnumberedHeading1"/>
        <w:jc w:val="center"/>
        <w:rPr>
          <w:rFonts w:ascii="Times New Roman" w:hAnsi="Times New Roman"/>
          <w:b w:val="0"/>
        </w:rPr>
      </w:pPr>
      <w:bookmarkStart w:id="1" w:name="_Toc118543902"/>
      <w:r w:rsidRPr="0010087C">
        <w:rPr>
          <w:rStyle w:val="Heading1Char"/>
          <w:rFonts w:ascii="Times New Roman" w:hAnsi="Times New Roman"/>
          <w:b/>
        </w:rPr>
        <w:lastRenderedPageBreak/>
        <w:t>Abstract</w:t>
      </w:r>
      <w:bookmarkEnd w:id="0"/>
      <w:bookmarkEnd w:id="1"/>
    </w:p>
    <w:p w14:paraId="40E11DE3" w14:textId="26500C4F" w:rsidR="00126C80" w:rsidRPr="0010087C" w:rsidRDefault="00126C80" w:rsidP="00126C80">
      <w:pPr>
        <w:jc w:val="left"/>
        <w:rPr>
          <w:i/>
          <w:iCs/>
        </w:rPr>
        <w:sectPr w:rsidR="00126C80" w:rsidRPr="0010087C" w:rsidSect="00126C80">
          <w:headerReference w:type="default" r:id="rId11"/>
          <w:footerReference w:type="default" r:id="rId12"/>
          <w:pgSz w:w="11907" w:h="16839" w:code="9"/>
          <w:pgMar w:top="1418" w:right="1418" w:bottom="1134" w:left="1701" w:header="567" w:footer="720" w:gutter="0"/>
          <w:pgNumType w:start="1"/>
          <w:cols w:space="720"/>
          <w:titlePg/>
          <w:docGrid w:linePitch="360"/>
        </w:sectPr>
      </w:pPr>
      <w:r w:rsidRPr="0010087C">
        <w:rPr>
          <w:i/>
          <w:iCs/>
        </w:rPr>
        <w:t>Fraud classifiers degrade as fraud patterns shift, but the labels needed to measure that directly are delayed by days to weeks through disputes and chargebacks. telltale is a label-free drift monitor for deployed fraud classifiers: it watches the incoming transaction features and the model's own predicted scores, both available instantly with no label needed, and raises an alarm when the evidence of drift is strong and persistent (a calibrated CUSUM over population stability index and score-based signals). Because a safe retrain still needs matured labels, an alarm defers the retrain until the label delay plus a short maturity wait has passed; a slower, delayed-label backstop retrains immediately once matured-window recall shows a confirmed drop, catching the one failure mode label-free signals structurally cannot see: pure concept drift, where the inputs look unchanged and only the relationship to the label has moved. Across 10 evaluation seeds and eight synthetic drift scenarios (sudden, gradual, recurring and pure concept drift, plus a benign seasonality control), the label-free monitor detected moderate sudden covariate drift with a median delay of 0 windows against the delayed-label backstop's 9, a statistically significant lead (paired Wilcoxon, p less than 0.01) that held across every covariate-drift scenario tested. The full framework used about 39 percent of a fixed retraining schedule's retrain count while keeping time-averaged recall within about 2 percent (relative) of it. As expected, the label-free monitor structurally failed to detect the pure concept drift scenario at its true onset; the backstop caught it at a median of 7 windows after onset, comfortably inside its target, in every evaluation seed. One hypothesis did not hold as cleanly: the false alarm target (at most 1 per 100 windows) was met by the input-only signal and by the backstop alone, but the combined and score-only variants of the full framework exceeded it slightly on the no-drift control, a genuine ablation finding discussed directly in Section 14 rather than hidden. These results come from a controlled simulation tuned to its own acceptance criteria, not a claim that the method works unmodified on a real bank's fraud stream; what does and does not transfer is discussed directly in the report's final sections.</w:t>
      </w:r>
      <w:bookmarkStart w:id="2" w:name="_Toc22034053"/>
      <w:bookmarkStart w:id="3" w:name="_Toc22034087"/>
      <w:r w:rsidR="004F55E0" w:rsidRPr="0010087C">
        <w:rPr>
          <w:i/>
          <w:iCs/>
        </w:rPr>
      </w:r>
      <w:r w:rsidR="0010087C" w:rsidRPr="0010087C">
        <w:rPr>
          <w:i/>
          <w:iCs/>
        </w:rPr>
      </w:r>
    </w:p>
    <w:p w14:paraId="352239AF" w14:textId="513B8449" w:rsidR="00126C80" w:rsidRPr="00EA02AA" w:rsidRDefault="00694AAA" w:rsidP="00694AAA">
      <w:pPr>
        <w:pStyle w:val="Heading1"/>
        <w:numPr>
          <w:ilvl w:val="0"/>
          <w:numId w:val="0"/>
        </w:numPr>
        <w:jc w:val="center"/>
        <w:rPr>
          <w:rFonts w:ascii="Times New Roman" w:hAnsi="Times New Roman"/>
        </w:rPr>
      </w:pPr>
      <w:bookmarkStart w:id="4" w:name="_Toc22035395"/>
      <w:bookmarkStart w:id="5" w:name="_Toc22116029"/>
      <w:bookmarkStart w:id="6" w:name="_Toc22116153"/>
      <w:bookmarkStart w:id="7" w:name="_Toc22116163"/>
      <w:bookmarkStart w:id="8" w:name="_Toc118543903"/>
      <w:r>
        <w:rPr>
          <w:rFonts w:ascii="Times New Roman" w:hAnsi="Times New Roman"/>
        </w:rPr>
        <w:lastRenderedPageBreak/>
        <w:t xml:space="preserve">1. </w:t>
      </w:r>
      <w:r w:rsidR="00126C80" w:rsidRPr="00EA02AA">
        <w:rPr>
          <w:rFonts w:ascii="Times New Roman" w:hAnsi="Times New Roman"/>
        </w:rPr>
        <w:t>Introduction</w:t>
      </w:r>
      <w:bookmarkEnd w:id="2"/>
      <w:bookmarkEnd w:id="3"/>
      <w:bookmarkEnd w:id="4"/>
      <w:bookmarkEnd w:id="5"/>
      <w:bookmarkEnd w:id="6"/>
      <w:bookmarkEnd w:id="7"/>
      <w:bookmarkEnd w:id="8"/>
    </w:p>
    <w:p w14:paraId="3C3C5F48" w14:textId="27BA7DC3" w:rsidR="00126C80" w:rsidRPr="00EA02AA" w:rsidRDefault="0010087C" w:rsidP="00126C80">
      <w:r/>
    </w:p>
    <w:p>
      <w:r>
        <w:t>A deployed fraud classifier does not stay accurate on its own. Fraud patterns shift as attackers change tactics, customer behaviour shifts with the seasons and with the economy, and the model that was good on launch day quietly gets worse. The awkward part is that nobody finds out quickly. A transaction is only confirmed as fraud once a customer disputes it or a chargeback lands, and that can take weeks. So a team runs a model for a long stretch of time with no real way of knowing whether it is still doing its job, until the complaints start arriving and the damage is already done.</w:t>
      </w:r>
    </w:p>
    <w:p>
      <w:r>
        <w:t>Two common responses exist and neither is satisfying. The first is to retrain on a fixed calendar, say every month, whether or not anything has actually changed. This wastes compute during quiet periods and still reacts too slowly to a sudden shift, because the shift might start the day after a scheduled retrain and sit unnoticed for weeks. The second is to wait for the labels, meaning wait for the complaints, which is exactly the slow path the first approach was trying to avoid.</w:t>
      </w:r>
    </w:p>
    <w:p>
      <w:r>
        <w:t>telltale takes a third path. It watches the live stream of transactions and the model's own predicted scores, both of which are available the instant a transaction happens, no label needed. From these it builds two kinds of evidence: has the shape of the incoming data moved away from what the model was trained on, and has the model's behaviour (how often it flags things, how confident it is) moved in a way that looks like drift rather than normal day-to-day noise. When that evidence is strong and persists for more than a couple of windows, it raises an alarm. Because the labels needed to safely retrain are still delayed, the alarm does not trigger an instant retrain: it marks one as pending and executes it once enough labels from after the alarm have had time to mature. A second, slower channel acts as a backstop: once labels do arrive, it watches whether the model's actual recall on matured windows has dropped, and if so, retrains immediately, since by then there is no more reason to wait.</w:t>
      </w:r>
    </w:p>
    <w:p w14:paraId="73202079" w14:textId="2E83EEA6" w:rsidR="00126C80" w:rsidRPr="00EA02AA" w:rsidRDefault="00F91998" w:rsidP="00126C80">
      <w:pPr>
        <w:pStyle w:val="Heading2"/>
        <w:rPr>
          <w:rFonts w:ascii="Times New Roman" w:hAnsi="Times New Roman"/>
        </w:rPr>
      </w:pPr>
      <w:r>
        <w:rPr>
          <w:rFonts w:ascii="Times New Roman" w:hAnsi="Times New Roman"/>
        </w:rPr>
        <w:t>1.1 Domain information</w:t>
      </w:r>
    </w:p>
    <w:p w14:paraId="328AC190" w14:textId="44837D8F" w:rsidR="00126C80" w:rsidRDefault="0010087C" w:rsidP="00126C80">
      <w:pPr>
        <w:rPr>
          <w:lang w:val="en-GB"/>
        </w:rPr>
      </w:pPr>
      <w:r>
        <w:rPr>
          <w:lang w:val="en-GB"/>
        </w:rPr>
      </w:r>
      <w:proofErr w:type="spellStart"/>
      <w:r>
        <w:rPr>
          <w:lang w:val="en-GB"/>
        </w:rPr>
      </w:r>
      <w:proofErr w:type="spellEnd"/>
    </w:p>
    <w:p>
      <w:r>
        <w:t>Card and transaction fraud detection is usually framed as a highly imbalanced binary classification problem: a tiny fraction of transactions (often well under 1 percent in real portfolios) are fraud, and the cost of missing one is not symmetric with the cost of a false alarm. On top of that imbalance sits concept drift, a term from the data stream mining literature for any change over time in the relationship between the inputs and the label. The literature usually separates two flavours. Covariate drift (also called virtual drift) is where the distribution of the input features changes but the true mapping from inputs to label stays the same; a model that was accurate before can still be accurate after, if it generalises to the new region, but in practice it often does not. Concept drift in the narrow sense (real drift) is where the mapping itself changes: the same transaction profile that used to be safe now is not, or vice versa, while the inputs you can observe may look statistically identical to before. This second kind is the harder one for any monitor that only looks at inputs, because there is nothing in the input distribution to see.</w:t>
      </w:r>
    </w:p>
    <w:p>
      <w:r>
        <w:t>Fraud detection has an additional complication on top of ordinary concept drift research: label delay. In most drift-detection papers, the true label of a new example is assumed to arrive almost immediately (classification is checked against ground truth right away). In fraud, the label is a confirmed chargeback or a manual investigation result, and that can take days to months. This means a monitor cannot simply watch accuracy drop in real time, because there is no real-time accuracy to watch. Anything that wants to react quickly has to work from proxies: how the inputs look, how the model's own scores behave, how confident it seems. That is the specific gap telltale is built to sit in.</w:t>
      </w:r>
    </w:p>
    <w:p w14:paraId="0B39A076" w14:textId="292462DB" w:rsidR="00F91998" w:rsidRDefault="00F91998" w:rsidP="00F91998">
      <w:pPr>
        <w:pStyle w:val="Heading2"/>
        <w:rPr>
          <w:rFonts w:ascii="Times New Roman" w:hAnsi="Times New Roman"/>
        </w:rPr>
      </w:pPr>
      <w:r w:rsidRPr="00F91998">
        <w:rPr>
          <w:rFonts w:ascii="Times New Roman" w:hAnsi="Times New Roman"/>
        </w:rPr>
        <w:t>1.2 Software libraries used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929"/>
        <w:gridCol w:w="2929"/>
        <w:gridCol w:w="2929"/>
      </w:tblGrid>
      <w:tr>
        <w:tc>
          <w:tcPr>
            <w:tcW w:type="dxa" w:w="2929"/>
          </w:tcPr>
          <w:p>
            <w:r>
              <w:rPr>
                <w:b/>
              </w:rPr>
              <w:t>Library</w:t>
            </w:r>
          </w:p>
        </w:tc>
        <w:tc>
          <w:tcPr>
            <w:tcW w:type="dxa" w:w="2929"/>
          </w:tcPr>
          <w:p>
            <w:r>
              <w:rPr>
                <w:b/>
              </w:rPr>
              <w:t>Version (this environment)</w:t>
            </w:r>
          </w:p>
        </w:tc>
        <w:tc>
          <w:tcPr>
            <w:tcW w:type="dxa" w:w="2929"/>
          </w:tcPr>
          <w:p>
            <w:r>
              <w:rPr>
                <w:b/>
              </w:rPr>
              <w:t>Purpose</w:t>
            </w:r>
          </w:p>
        </w:tc>
      </w:tr>
      <w:tr>
        <w:tc>
          <w:tcPr>
            <w:tcW w:type="dxa" w:w="2929"/>
          </w:tcPr>
          <w:p>
            <w:r>
              <w:t>numpy</w:t>
            </w:r>
          </w:p>
        </w:tc>
        <w:tc>
          <w:tcPr>
            <w:tcW w:type="dxa" w:w="2929"/>
          </w:tcPr>
          <w:p>
            <w:r>
              <w:t>2.5.4</w:t>
            </w:r>
          </w:p>
        </w:tc>
        <w:tc>
          <w:tcPr>
            <w:tcW w:type="dxa" w:w="2929"/>
          </w:tcPr>
          <w:p>
            <w:r>
              <w:t>Array operations: the synthetic stream, feature generation, vectorised null-calibration bootstrap</w:t>
            </w:r>
          </w:p>
        </w:tc>
      </w:tr>
      <w:tr>
        <w:tc>
          <w:tcPr>
            <w:tcW w:type="dxa" w:w="2929"/>
          </w:tcPr>
          <w:p>
            <w:r>
              <w:t>pandas</w:t>
            </w:r>
          </w:p>
        </w:tc>
        <w:tc>
          <w:tcPr>
            <w:tcW w:type="dxa" w:w="2929"/>
          </w:tcPr>
          <w:p>
            <w:r>
              <w:t>3.0.6</w:t>
            </w:r>
          </w:p>
        </w:tc>
        <w:tc>
          <w:tcPr>
            <w:tcW w:type="dxa" w:w="2929"/>
          </w:tcPr>
          <w:p>
            <w:r>
              <w:t>Per-window result logs, aggregation into summary statistics and report tables</w:t>
            </w:r>
          </w:p>
        </w:tc>
      </w:tr>
      <w:tr>
        <w:tc>
          <w:tcPr>
            <w:tcW w:type="dxa" w:w="2929"/>
          </w:tcPr>
          <w:p>
            <w:r>
              <w:t>scipy</w:t>
            </w:r>
          </w:p>
        </w:tc>
        <w:tc>
          <w:tcPr>
            <w:tcW w:type="dxa" w:w="2929"/>
          </w:tcPr>
          <w:p>
            <w:r>
              <w:t>1.18.1</w:t>
            </w:r>
          </w:p>
        </w:tc>
        <w:tc>
          <w:tcPr>
            <w:tcW w:type="dxa" w:w="2929"/>
          </w:tcPr>
          <w:p>
            <w:r>
              <w:t>KS statistic (`scipy.stats.ks_2samp`), confidence intervals (`scipy.stats.t`, `scipy.stats.sem`)</w:t>
            </w:r>
          </w:p>
        </w:tc>
      </w:tr>
      <w:tr>
        <w:tc>
          <w:tcPr>
            <w:tcW w:type="dxa" w:w="2929"/>
          </w:tcPr>
          <w:p>
            <w:r>
              <w:t>scikit-learn</w:t>
            </w:r>
          </w:p>
        </w:tc>
        <w:tc>
          <w:tcPr>
            <w:tcW w:type="dxa" w:w="2929"/>
          </w:tcPr>
          <w:p>
            <w:r>
              <w:t>1.9.1</w:t>
            </w:r>
          </w:p>
        </w:tc>
        <w:tc>
          <w:tcPr>
            <w:tcW w:type="dxa" w:w="2929"/>
          </w:tcPr>
          <w:p>
            <w:r>
              <w:t>`HistGradientBoostingClassifier` (the deployed fraud model), `average_precision_score`</w:t>
            </w:r>
          </w:p>
        </w:tc>
      </w:tr>
      <w:tr>
        <w:tc>
          <w:tcPr>
            <w:tcW w:type="dxa" w:w="2929"/>
          </w:tcPr>
          <w:p>
            <w:r>
              <w:t>matplotlib</w:t>
            </w:r>
          </w:p>
        </w:tc>
        <w:tc>
          <w:tcPr>
            <w:tcW w:type="dxa" w:w="2929"/>
          </w:tcPr>
          <w:p>
            <w:r>
              <w:t>3.11.2</w:t>
            </w:r>
          </w:p>
        </w:tc>
        <w:tc>
          <w:tcPr>
            <w:tcW w:type="dxa" w:w="2929"/>
          </w:tcPr>
          <w:p>
            <w:r>
              <w:t>All figures (architecture diagram, performance-over-time, ablation bars, scale-up plots)</w:t>
            </w:r>
          </w:p>
        </w:tc>
      </w:tr>
      <w:tr>
        <w:tc>
          <w:tcPr>
            <w:tcW w:type="dxa" w:w="2929"/>
          </w:tcPr>
          <w:p>
            <w:r>
              <w:t>pyyaml</w:t>
            </w:r>
          </w:p>
        </w:tc>
        <w:tc>
          <w:tcPr>
            <w:tcW w:type="dxa" w:w="2929"/>
          </w:tcPr>
          <w:p>
            <w:r>
              <w:t>(latest via pip)</w:t>
            </w:r>
          </w:p>
        </w:tc>
        <w:tc>
          <w:tcPr>
            <w:tcW w:type="dxa" w:w="2929"/>
          </w:tcPr>
          <w:p>
            <w:r>
              <w:t>Reading `configs/*.yaml` run configurations</w:t>
            </w:r>
          </w:p>
        </w:tc>
      </w:tr>
      <w:tr>
        <w:tc>
          <w:tcPr>
            <w:tcW w:type="dxa" w:w="2929"/>
          </w:tcPr>
          <w:p>
            <w:r>
              <w:t>python-docx</w:t>
            </w:r>
          </w:p>
        </w:tc>
        <w:tc>
          <w:tcPr>
            <w:tcW w:type="dxa" w:w="2929"/>
          </w:tcPr>
          <w:p>
            <w:r>
              <w:t>(latest via pip)</w:t>
            </w:r>
          </w:p>
        </w:tc>
        <w:tc>
          <w:tcPr>
            <w:tcW w:type="dxa" w:w="2929"/>
          </w:tcPr>
          <w:p>
            <w:r>
              <w:t>Building the Word report from `report/template.docx`</w:t>
            </w:r>
          </w:p>
        </w:tc>
      </w:tr>
      <w:tr>
        <w:tc>
          <w:tcPr>
            <w:tcW w:type="dxa" w:w="2929"/>
          </w:tcPr>
          <w:p>
            <w:r>
              <w:t>pytest</w:t>
            </w:r>
          </w:p>
        </w:tc>
        <w:tc>
          <w:tcPr>
            <w:tcW w:type="dxa" w:w="2929"/>
          </w:tcPr>
          <w:p>
            <w:r>
              <w:t>(latest via pip)</w:t>
            </w:r>
          </w:p>
        </w:tc>
        <w:tc>
          <w:tcPr>
            <w:tcW w:type="dxa" w:w="2929"/>
          </w:tcPr>
          <w:p>
            <w:r>
              <w:t>The test suite (`tests/`), PRD Section 15.1's quality gates</w:t>
            </w:r>
          </w:p>
        </w:tc>
      </w:tr>
    </w:tbl>
    <w:p>
      <w:r>
        <w:t>Exact installed versions are pinned by `requirements.txt` and recorded at build time; the table above reflects the environment the project was actually built and run in.</w:t>
      </w:r>
    </w:p>
    <w:p w14:paraId="71133582" w14:textId="27BC8D71" w:rsidR="00F91998" w:rsidRPr="00F91998" w:rsidRDefault="00F91998" w:rsidP="00F91998">
      <w:pPr>
        <w:pStyle w:val="Heading2"/>
        <w:rPr>
          <w:rFonts w:ascii="Times New Roman" w:hAnsi="Times New Roman"/>
        </w:rPr>
      </w:pPr>
      <w:r w:rsidRPr="00F91998">
        <w:rPr>
          <w:rFonts w:ascii="Times New Roman" w:hAnsi="Times New Roman"/>
        </w:rPr>
        <w:t>1.3 Contributions by team members</w:t>
      </w:r>
    </w:p>
    <w:p>
      <w:r>
        <w:t>[AUTHOR TO FILL]</w:t>
      </w:r>
    </w:p>
    <w:p w14:paraId="53E9862F" w14:textId="1019E0EF" w:rsidR="00F91998" w:rsidRDefault="00F91998" w:rsidP="00F91998">
      <w:pPr>
        <w:pStyle w:val="Heading2"/>
        <w:rPr>
          <w:rFonts w:ascii="Times New Roman" w:hAnsi="Times New Roman"/>
        </w:rPr>
      </w:pPr>
      <w:r w:rsidRPr="00F91998">
        <w:rPr>
          <w:rFonts w:ascii="Times New Roman" w:hAnsi="Times New Roman"/>
        </w:rPr>
        <w:t>1.4 Challenges faced</w:t>
      </w:r>
    </w:p>
    <w:p>
      <w:r>
        <w:t>Written only from `docs/dev_log.md`, the project's dated log of problems and fixes, as PRD Section 0 rule 8 requires. See that file for the full, dated account; the headline issues were:</w:t>
      </w:r>
    </w:p>
    <w:p>
      <w:pPr>
        <w:pStyle w:val="BulletedList"/>
      </w:pPr>
      <w:r>
        <w:t>A naive synthetic covariate-drift injector (shift the mean of the features the label depends on, in the direction of their own coefficients) made average precision go up after drift instead of down, because the shift also raised the ambient fraud rate in the window and average precision is sensitive to prevalence. Fixed by making the shift zero-sum against the label's weight vector and adding the real performance damage as an explicit noise term on the logit.</w:t>
      </w:r>
    </w:p>
    <w:p>
      <w:pPr>
        <w:pStyle w:val="BulletedList"/>
      </w:pPr>
      <w:r>
        <w:t>`HistGradientBoostingClassifier`'s `class_weight="balanced"` parameter (or any `sample_weight` array at all) cost a fixed 6 to 10 seconds per `.fit()` call on this machine's scikit-learn 1.9.1 / Python 3.14 build, regardless of data size, against about 0.3 to 2 seconds unweighted. At the scale the main experiment needed this made the difference between an infeasible multi-day run and a tractable one.</w:t>
      </w:r>
    </w:p>
    <w:p>
      <w:pPr>
        <w:pStyle w:val="BulletedList"/>
      </w:pPr>
      <w:r>
        <w:t>The null-calibration bootstrap for the drift monitors first resampled individual transaction rows from the reference pool, which washed out the shared per-window structure that scenario S6 (benign weekly seasonality) deliberately has. Its false alarm rate came out around 3x the target no matter how the CUSUM was tuned. Fixed by resampling whole reference windows instead of rows, which then uncovered a second, subtler bug: resampling only 10 whole windows verbatim caps the null distribution at 10 distinct outcomes, understating its true tail and letting a fresh window exceed the threshold 60 percent of the time instead of about 1 percent. The final fix resamples the window choice and then separately resamples that window's own rows.</w:t>
      </w:r>
    </w:p>
    <w:p>
      <w:pPr>
        <w:pStyle w:val="BulletedList"/>
      </w:pPr>
      <w:r>
        <w:t>A first end-to-end timing check projected the full main experiment (20 evaluation seeds) at about 26.6 hours, almost entirely due to the two bugs above plus an unoptimised calibration bootstrap loop (originally about 135 seconds per reference rebuild, needed thousands of times). After fixing all three and discovering this machine's sandboxed shell only gives genuine parallelism across about 2 real cores (not the 12 `os.cpu_count()` reports), the author agreed to cut evaluation seeds from 20 to 10, PRD Section 3's own first cut-list item, bringing the run to a tractable 1.5 to 1.75 hours.</w:t>
      </w:r>
    </w:p>
    <w:p w14:paraId="07CE9732" w14:textId="304CC1D2" w:rsidR="00745F82" w:rsidRDefault="00745F82" w:rsidP="00745F82">
      <w:pPr>
        <w:pStyle w:val="Heading2"/>
        <w:rPr>
          <w:rFonts w:ascii="Times New Roman" w:hAnsi="Times New Roman"/>
        </w:rPr>
      </w:pPr>
      <w:r>
        <w:rPr>
          <w:rFonts w:ascii="Times New Roman" w:hAnsi="Times New Roman"/>
        </w:rPr>
        <w:t>1.5 Scientific / Technical Principle Note</w:t>
      </w:r>
    </w:p>
    <w:p>
      <w:r>
        <w:t>Drift types. The project distinguishes three structural kinds of change, following the general split used in the concept-drift literature (see Section 2). Sudden drift is a step change at a known or unknown point in time. Gradual drift ramps in over a window rather than switching instantly. Recurring drift turns on, off, and on again, the kind a system might see from a seasonal attack pattern or a promotional period. telltale's generator implements all three as covariate drift (scenarios S1, S2, S3), plus a fourth kind that is not about the inputs at all: concept drift in the narrow sense, where the label-generating relationship itself changes while every input feature's marginal distribution stays the same (scenario S4).</w:t>
      </w:r>
    </w:p>
    <w:p>
      <w:r>
        <w:t>Why labels are late. A transaction's true fraud status is only confirmed when a cardholder disputes a charge, a chargeback process completes, or an investigator closes a case. PRD Section 5.1 fixes this label delay at D = 7 windows by default (with a sensitivity sweep over 0, 3, 7, 14 windows as a P1 item), representing roughly a week if one window is one day. Any monitoring approach that needs ground truth to detect degradation is structurally stuck waiting at least D windows before it can see anything.</w:t>
      </w:r>
    </w:p>
    <w:p>
      <w:r>
        <w:t>Why label-free signals work, and when they cannot. The input drift monitor and the score drift monitor (PRD Section 6.3, 6.4) never touch the label. The input monitor compares the live feature distribution against a reference using the population stability index (PSI) and the Kolmogorov-Smirnov statistic; the score monitor does the same for the model's own predicted probabilities, plus how often it flags transactions (the alert rate) and how uncertain its predictions look (predictive entropy). All of these are observable instantly, at serving time, no label needed. This works precisely when drift changes something about the observable inputs or the model's observable behaviour on them, which is exactly what covariate drift does by definition. It structurally cannot work when the inputs look identical and only the hidden mapping from inputs to label has changed (pure concept drift, scenario S4): there is nothing in X or in the model's scores on X for a label-free monitor to notice, because the model was never told the relationship had moved.</w:t>
      </w:r>
    </w:p>
    <w:p>
      <w:r>
        <w:t>The role of the backstop. This is exactly the gap the delayed-label backstop (PRD Section 6.6) is there to close. It is slower by construction, since it needs real labels to mature before it can compute anything, but it is not blind to concept drift the way the label-free monitors are: it watches the model's actual recall at the alert budget on matured windows, compared against its calibration-period baseline, and retrains immediately on a sustained drop. The combination is the project's central claim: label-free signals buy speed on the drift they can see, and the backstop guarantees nothing silently rots forever, at the cost of being no faster than the label delay allows.</w:t>
      </w:r>
    </w:p>
    <w:p w14:paraId="77A8C669" w14:textId="1B8B1ABB" w:rsidR="00745F82" w:rsidRPr="00745F82" w:rsidRDefault="00745F82" w:rsidP="00745F82">
      <w:pPr>
        <w:rPr>
          <w:lang w:val="en-GB"/>
        </w:rPr>
      </w:pPr>
    </w:p>
    <w:p w14:paraId="05B61D22" w14:textId="77777777" w:rsidR="00F91998" w:rsidRPr="00F91998" w:rsidRDefault="00F91998" w:rsidP="00F91998">
      <w:pPr>
        <w:rPr>
          <w:lang w:val="en-GB"/>
        </w:rPr>
      </w:pPr>
    </w:p>
    <w:p w14:paraId="1CF46FD5" w14:textId="7AC654F3" w:rsidR="00126C80" w:rsidRPr="00EA02AA" w:rsidRDefault="00F91998" w:rsidP="00694AAA">
      <w:pPr>
        <w:pStyle w:val="Heading1"/>
        <w:numPr>
          <w:ilvl w:val="0"/>
          <w:numId w:val="0"/>
        </w:numPr>
        <w:ind w:left="357"/>
        <w:jc w:val="center"/>
        <w:rPr>
          <w:rFonts w:ascii="Times New Roman" w:hAnsi="Times New Roman"/>
        </w:rPr>
      </w:pPr>
      <w:bookmarkStart w:id="9" w:name="_Toc118543906"/>
      <w:r>
        <w:rPr>
          <w:rFonts w:ascii="Times New Roman" w:hAnsi="Times New Roman"/>
        </w:rPr>
        <w:lastRenderedPageBreak/>
        <w:t>2</w:t>
      </w:r>
      <w:r w:rsidR="00694AAA">
        <w:rPr>
          <w:rFonts w:ascii="Times New Roman" w:hAnsi="Times New Roman"/>
        </w:rPr>
        <w:t xml:space="preserve">. </w:t>
      </w:r>
      <w:r w:rsidR="00745F82">
        <w:rPr>
          <w:rFonts w:ascii="Times New Roman" w:hAnsi="Times New Roman"/>
        </w:rPr>
        <w:t>Literature and Reference Log,</w:t>
      </w:r>
      <w:bookmarkEnd w:id="9"/>
    </w:p>
    <w:p w14:paraId="203BC7A0" w14:textId="4F14DBCF" w:rsidR="00126C80" w:rsidRPr="00EA02AA" w:rsidRDefault="00745F82" w:rsidP="0072219A">
      <w:pPr>
        <w:rPr>
          <w:lang w:val="en-GB"/>
        </w:rPr>
      </w:pPr>
      <w:r>
        <w:rPr>
          <w:lang w:val="en-GB"/>
        </w:rPr>
      </w:r>
      <w:r w:rsidR="0072219A">
        <w:rPr>
          <w:lang w:val="en-GB"/>
        </w:rPr>
      </w:r>
    </w:p>
    <w:p>
      <w:r>
        <w:t>All 20 seed entries from PRD.md Section 14.4 were checked against web search results (title, authors, venue, year) and all 20 verified as real publications or a real dataset. The table below keeps the 15 most directly relevant to telltale, per PRD's instruction to keep 12 to 15 verified entries in the final log. Five verified entries were set aside only for space and topical overlap, not because anything about them was wrong: see "Verified but not included" at the bottom.</w:t>
      </w:r>
    </w:p>
    <w:p>
      <w:r>
        <w:rPr>
          <w:b/>
        </w:rPr>
        <w:t>Verified sources used in the report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65"/>
        <w:gridCol w:w="1465"/>
        <w:gridCol w:w="1465"/>
        <w:gridCol w:w="1465"/>
        <w:gridCol w:w="1465"/>
        <w:gridCol w:w="1465"/>
      </w:tblGrid>
      <w:tr>
        <w:tc>
          <w:tcPr>
            <w:tcW w:type="dxa" w:w="1465"/>
          </w:tcPr>
          <w:p>
            <w:r>
              <w:rPr>
                <w:b/>
              </w:rPr>
              <w:t>Citation</w:t>
            </w:r>
          </w:p>
        </w:tc>
        <w:tc>
          <w:tcPr>
            <w:tcW w:type="dxa" w:w="1465"/>
          </w:tcPr>
          <w:p>
            <w:r>
              <w:rPr>
                <w:b/>
              </w:rPr>
              <w:t>Problem</w:t>
            </w:r>
          </w:p>
        </w:tc>
        <w:tc>
          <w:tcPr>
            <w:tcW w:type="dxa" w:w="1465"/>
          </w:tcPr>
          <w:p>
            <w:r>
              <w:rPr>
                <w:b/>
              </w:rPr>
              <w:t>Method</w:t>
            </w:r>
          </w:p>
        </w:tc>
        <w:tc>
          <w:tcPr>
            <w:tcW w:type="dxa" w:w="1465"/>
          </w:tcPr>
          <w:p>
            <w:r>
              <w:rPr>
                <w:b/>
              </w:rPr>
              <w:t>Finding relevant to us</w:t>
            </w:r>
          </w:p>
        </w:tc>
        <w:tc>
          <w:tcPr>
            <w:tcW w:type="dxa" w:w="1465"/>
          </w:tcPr>
          <w:p>
            <w:r>
              <w:rPr>
                <w:b/>
              </w:rPr>
              <w:t>Limitation</w:t>
            </w:r>
          </w:p>
        </w:tc>
        <w:tc>
          <w:tcPr>
            <w:tcW w:type="dxa" w:w="1465"/>
          </w:tcPr>
          <w:p>
            <w:r>
              <w:rPr>
                <w:b/>
              </w:rPr>
              <w:t>Design choice it shaped</w:t>
            </w:r>
          </w:p>
        </w:tc>
      </w:tr>
      <w:tr>
        <w:tc>
          <w:tcPr>
            <w:tcW w:type="dxa" w:w="1465"/>
          </w:tcPr>
          <w:p>
            <w:r>
              <w:t>Gama, Zliobaite, Bifet, Pechenizkiy, Bouchachia. A survey on concept drift adaptation. ACM Computing Surveys, 46(4), article 44, 2014.</w:t>
            </w:r>
          </w:p>
        </w:tc>
        <w:tc>
          <w:tcPr>
            <w:tcW w:type="dxa" w:w="1465"/>
          </w:tcPr>
          <w:p>
            <w:r>
              <w:t>How to characterize and adapt to concept drift in online supervised learning.</w:t>
            </w:r>
          </w:p>
        </w:tc>
        <w:tc>
          <w:tcPr>
            <w:tcW w:type="dxa" w:w="1465"/>
          </w:tcPr>
          <w:p>
            <w:r>
              <w:t>Survey: categorizes adaptive learning strategies and evaluation methodology across the field.</w:t>
            </w:r>
          </w:p>
        </w:tc>
        <w:tc>
          <w:tcPr>
            <w:tcW w:type="dxa" w:w="1465"/>
          </w:tcPr>
          <w:p>
            <w:r>
              <w:t>Establishes the vocabulary telltale relies on (sudden, gradual, recurring, pure concept drift) and confirms these are the standard categories researchers evaluate against.</w:t>
            </w:r>
          </w:p>
        </w:tc>
        <w:tc>
          <w:tcPr>
            <w:tcW w:type="dxa" w:w="1465"/>
          </w:tcPr>
          <w:p>
            <w:r>
              <w:t>A survey, not a method: gives no single detector to adopt directly.</w:t>
            </w:r>
          </w:p>
        </w:tc>
        <w:tc>
          <w:tcPr>
            <w:tcW w:type="dxa" w:w="1465"/>
          </w:tcPr>
          <w:p>
            <w:r>
              <w:t>Chose the S1/S2/S3/S4 scenario taxonomy (sudden, gradual, recurring, concept) to match the field's standard categories rather than inventing a bespoke one.</w:t>
            </w:r>
          </w:p>
        </w:tc>
      </w:tr>
      <w:tr>
        <w:tc>
          <w:tcPr>
            <w:tcW w:type="dxa" w:w="1465"/>
          </w:tcPr>
          <w:p>
            <w:r>
              <w:t>Webb, Hyde, Cao, Nguyen, Petitjean. Characterizing concept drift. Data Mining and Knowledge Discovery, 30(4), 964-994, 2016.</w:t>
            </w:r>
          </w:p>
        </w:tc>
        <w:tc>
          <w:tcPr>
            <w:tcW w:type="dxa" w:w="1465"/>
          </w:tcPr>
          <w:p>
            <w:r>
              <w:t>Prior drift categorizations were qualitative; the field lacked formal, quantitative definitions.</w:t>
            </w:r>
          </w:p>
        </w:tc>
        <w:tc>
          <w:tcPr>
            <w:tcW w:type="dxa" w:w="1465"/>
          </w:tcPr>
          <w:p>
            <w:r>
              <w:t>Proposes formal definitions and a taxonomy of drift types based on how the joint distribution P(X,y) changes.</w:t>
            </w:r>
          </w:p>
        </w:tc>
        <w:tc>
          <w:tcPr>
            <w:tcW w:type="dxa" w:w="1465"/>
          </w:tcPr>
          <w:p>
            <w:r>
              <w:t>Gives a precise, defensible distinction between a change in P(X) (covariate drift) and a change in P(y given X) (concept drift), which is exactly the line telltale's scenarios are built to test.</w:t>
            </w:r>
          </w:p>
        </w:tc>
        <w:tc>
          <w:tcPr>
            <w:tcW w:type="dxa" w:w="1465"/>
          </w:tcPr>
          <w:p>
            <w:r>
              <w:t>Definitional and taxonomic, not an evaluation method for a specific detector.</w:t>
            </w:r>
          </w:p>
        </w:tc>
        <w:tc>
          <w:tcPr>
            <w:tcW w:type="dxa" w:w="1465"/>
          </w:tcPr>
          <w:p>
            <w:r>
              <w:t>Justifies treating S1 to S3 (input marginal changes) and S4 (label-generating function changes, marginals fixed) as genuinely different drift types rather than variations of one thing.</w:t>
            </w:r>
          </w:p>
        </w:tc>
      </w:tr>
      <w:tr>
        <w:tc>
          <w:tcPr>
            <w:tcW w:type="dxa" w:w="1465"/>
          </w:tcPr>
          <w:p>
            <w:r>
              <w:t>Dal Pozzolo, Caelen, Le Borgne, Waterschoot, Bontempi. Learned lessons in credit card fraud detection from a practitioner perspective. Expert Systems with Applications, 41(10), 4915-4928, 2014.</w:t>
            </w:r>
          </w:p>
        </w:tc>
        <w:tc>
          <w:tcPr>
            <w:tcW w:type="dxa" w:w="1465"/>
          </w:tcPr>
          <w:p>
            <w:r>
              <w:t>What actually goes wrong when deploying fraud classifiers in production.</w:t>
            </w:r>
          </w:p>
        </w:tc>
        <w:tc>
          <w:tcPr>
            <w:tcW w:type="dxa" w:w="1465"/>
          </w:tcPr>
          <w:p>
            <w:r>
              <w:t>Practitioner-perspective analysis of a real card-fraud pipeline.</w:t>
            </w:r>
          </w:p>
        </w:tc>
        <w:tc>
          <w:tcPr>
            <w:tcW w:type="dxa" w:w="1465"/>
          </w:tcPr>
          <w:p>
            <w:r>
              <w:t>Names class imbalance, concept drift and limited, delayed feedback as the practical obstacles, the same three telltale is built around.</w:t>
            </w:r>
          </w:p>
        </w:tc>
        <w:tc>
          <w:tcPr>
            <w:tcW w:type="dxa" w:w="1465"/>
          </w:tcPr>
          <w:p>
            <w:r>
              <w:t>Specific to one processor's pipeline and card data; generalization to other fraud domains is not established.</w:t>
            </w:r>
          </w:p>
        </w:tc>
        <w:tc>
          <w:tcPr>
            <w:tcW w:type="dxa" w:w="1465"/>
          </w:tcPr>
          <w:p>
            <w:r>
              <w:t>Grounded the choice of a 2 percent synthetic base fraud rate and the delayed-label framing in a real deployment's reported obstacles, not just an abstract assumption.</w:t>
            </w:r>
          </w:p>
        </w:tc>
      </w:tr>
      <w:tr>
        <w:tc>
          <w:tcPr>
            <w:tcW w:type="dxa" w:w="1465"/>
          </w:tcPr>
          <w:p>
            <w:r>
              <w:t>Dal Pozzolo, Boracchi, Caelen, Alippi, Bontempi. Credit card fraud detection and concept-drift adaptation with delayed supervised information. IJCNN, 1-8, 2015.</w:t>
            </w:r>
          </w:p>
        </w:tc>
        <w:tc>
          <w:tcPr>
            <w:tcW w:type="dxa" w:w="1465"/>
          </w:tcPr>
          <w:p>
            <w:r>
              <w:t>Fraud-detection systems only receive a small set of delayed, investigator-confirmed labels, not the true label for every transaction.</w:t>
            </w:r>
          </w:p>
        </w:tc>
        <w:tc>
          <w:tcPr>
            <w:tcW w:type="dxa" w:w="1465"/>
          </w:tcPr>
          <w:p>
            <w:r>
              <w:t>Compares pooling delayed labels with alert feedback against training two separate classifiers and aggregating their outputs.</w:t>
            </w:r>
          </w:p>
        </w:tc>
        <w:tc>
          <w:tcPr>
            <w:tcW w:type="dxa" w:w="1465"/>
          </w:tcPr>
          <w:p>
            <w:r>
              <w:t>Handling feedback labels separately from delayed verified labels improves alert precision, i.e. the two label sources are not interchangeable.</w:t>
            </w:r>
          </w:p>
        </w:tc>
        <w:tc>
          <w:tcPr>
            <w:tcW w:type="dxa" w:w="1465"/>
          </w:tcPr>
          <w:p>
            <w:r>
              <w:t>Only two specific aggregation strategies are compared; does not address label-free monitoring at all.</w:t>
            </w:r>
          </w:p>
        </w:tc>
        <w:tc>
          <w:tcPr>
            <w:tcW w:type="dxa" w:w="1465"/>
          </w:tcPr>
          <w:p>
            <w:r>
              <w:t>Directly supports telltale's label vault design, which treats "matured" labels as a distinct, delayed resource rather than assuming all labels arrive uniformly.</w:t>
            </w:r>
          </w:p>
        </w:tc>
      </w:tr>
      <w:tr>
        <w:tc>
          <w:tcPr>
            <w:tcW w:type="dxa" w:w="1465"/>
          </w:tcPr>
          <w:p>
            <w:r>
              <w:t>Dal Pozzolo, Boracchi, Caelen, Alippi, Bontempi. Credit card fraud detection: a realistic modeling and a novel learning strategy. IEEE Transactions on Neural Networks and Learning Systems, 29(8), 3784-3797, 2018.</w:t>
            </w:r>
          </w:p>
        </w:tc>
        <w:tc>
          <w:tcPr>
            <w:tcW w:type="dxa" w:w="1465"/>
          </w:tcPr>
          <w:p>
            <w:r>
              <w:t>Existing fraud-detection evaluations do not realistically model verification latency, class imbalance and concept drift together.</w:t>
            </w:r>
          </w:p>
        </w:tc>
        <w:tc>
          <w:tcPr>
            <w:tcW w:type="dxa" w:w="1465"/>
          </w:tcPr>
          <w:p>
            <w:r>
              <w:t>Formalizes the operating conditions of a real fraud-detection stream and proposes a learning strategy addressing all three jointly.</w:t>
            </w:r>
          </w:p>
        </w:tc>
        <w:tc>
          <w:tcPr>
            <w:tcW w:type="dxa" w:w="1465"/>
          </w:tcPr>
          <w:p>
            <w:r>
              <w:t>"Verification latency" is this paper's term for exactly telltale's label delay D; treating it jointly with concept drift and imbalance, rather than one at a time, is the paper's central argument.</w:t>
            </w:r>
          </w:p>
        </w:tc>
        <w:tc>
          <w:tcPr>
            <w:tcW w:type="dxa" w:w="1465"/>
          </w:tcPr>
          <w:p>
            <w:r>
              <w:t>A single learning strategy evaluated on one processor's data, not a general-purpose monitoring framework.</w:t>
            </w:r>
          </w:p>
        </w:tc>
        <w:tc>
          <w:tcPr>
            <w:tcW w:type="dxa" w:w="1465"/>
          </w:tcPr>
          <w:p>
            <w:r>
              <w:t>Reinforced the decision to model label delay as a first-class simulation parameter (D) rather than an afterthought, and to report metrics that remain meaningful under class imbalance (PRD Section 8's "never report accuracy" rule).</w:t>
            </w:r>
          </w:p>
        </w:tc>
      </w:tr>
      <w:tr>
        <w:tc>
          <w:tcPr>
            <w:tcW w:type="dxa" w:w="1465"/>
          </w:tcPr>
          <w:p>
            <w:r>
              <w:t>Rabanser, Guennemann, Lipton. Failing loudly: an empirical study of methods for detecting dataset shift. NeurIPS, 1396-1408, 2019.</w:t>
            </w:r>
          </w:p>
        </w:tc>
        <w:tc>
          <w:tcPr>
            <w:tcW w:type="dxa" w:w="1465"/>
          </w:tcPr>
          <w:p>
            <w:r>
              <w:t>Many dataset-shift detectors exist; which actually work, and how do you explain what shifted.</w:t>
            </w:r>
          </w:p>
        </w:tc>
        <w:tc>
          <w:tcPr>
            <w:tcW w:type="dxa" w:w="1465"/>
          </w:tcPr>
          <w:p>
            <w:r>
              <w:t>Empirical comparison of two-sample tests (including dimensionality-reduced ones) for shift detection, plus methods for characterizing which features drove a detected shift.</w:t>
            </w:r>
          </w:p>
        </w:tc>
        <w:tc>
          <w:tcPr>
            <w:tcW w:type="dxa" w:w="1465"/>
          </w:tcPr>
          <w:p>
            <w:r>
              <w:t>Two-sample testing with a dimensionality-reduction step performed best across the shifts tested; domain-discriminating approaches help explain a shift rather than just flag it.</w:t>
            </w:r>
          </w:p>
        </w:tc>
        <w:tc>
          <w:tcPr>
            <w:tcW w:type="dxa" w:w="1465"/>
          </w:tcPr>
          <w:p>
            <w:r>
              <w:t>Benchmarked on image and tabular shift benchmarks, not a fraud or delayed-label setting.</w:t>
            </w:r>
          </w:p>
        </w:tc>
        <w:tc>
          <w:tcPr>
            <w:tcW w:type="dxa" w:w="1465"/>
          </w:tcPr>
          <w:p>
            <w:r>
              <w:t>Supported the decision to log which features drove an input-drift alarm (PRD 6.3), not just the alarm itself, since explaining a shift is treated as a first-class requirement by this literature, not a nice-to-have.</w:t>
            </w:r>
          </w:p>
        </w:tc>
      </w:tr>
      <w:tr>
        <w:tc>
          <w:tcPr>
            <w:tcW w:type="dxa" w:w="1465"/>
          </w:tcPr>
          <w:p>
            <w:r>
              <w:t>Bifet, Gavalda. Learning from time-changing data with adaptive windowing. SIAM International Conference on Data Mining, 443-448, 2007.</w:t>
            </w:r>
          </w:p>
        </w:tc>
        <w:tc>
          <w:tcPr>
            <w:tcW w:type="dxa" w:w="1465"/>
          </w:tcPr>
          <w:p>
            <w:r>
              <w:t>Fixed-size sliding windows force a hand-picked time scale for detecting change.</w:t>
            </w:r>
          </w:p>
        </w:tc>
        <w:tc>
          <w:tcPr>
            <w:tcW w:type="dxa" w:w="1465"/>
          </w:tcPr>
          <w:p>
            <w:r>
              <w:t>ADWIN: a sliding window whose size adapts automatically, shrinking when change is detected and growing when the stream is stable, with proven bounds on false positive/negative rates.</w:t>
            </w:r>
          </w:p>
        </w:tc>
        <w:tc>
          <w:tcPr>
            <w:tcW w:type="dxa" w:w="1465"/>
          </w:tcPr>
          <w:p>
            <w:r>
              <w:t>A classical, well-understood alternative to telltale's fixed-window CUSUM approach; defines the "adaptive window" branch of the field.</w:t>
            </w:r>
          </w:p>
        </w:tc>
        <w:tc>
          <w:tcPr>
            <w:tcW w:type="dxa" w:w="1465"/>
          </w:tcPr>
          <w:p>
            <w:r>
              <w:t>Operates on a single scalar statistic at a time and needs a labeled error signal in its most common use, so it does not directly solve label-free monitoring.</w:t>
            </w:r>
          </w:p>
        </w:tc>
        <w:tc>
          <w:tcPr>
            <w:tcW w:type="dxa" w:w="1465"/>
          </w:tcPr>
          <w:p>
            <w:r>
              <w:t>Used as a comparison point in the desk-study table (report Section 8) for why telltale uses a fixed window with a separate CUSUM rather than an adaptive window.</w:t>
            </w:r>
          </w:p>
        </w:tc>
      </w:tr>
      <w:tr>
        <w:tc>
          <w:tcPr>
            <w:tcW w:type="dxa" w:w="1465"/>
          </w:tcPr>
          <w:p>
            <w:r>
              <w:t>Gama, Medas, Castillo, Rodrigues. Learning with drift detection. SBIA (Advances in Artificial Intelligence), 2004.</w:t>
            </w:r>
          </w:p>
        </w:tc>
        <w:tc>
          <w:tcPr>
            <w:tcW w:type="dxa" w:w="1465"/>
          </w:tcPr>
          <w:p>
            <w:r>
              <w:t>Detecting when a classifier's error rate has genuinely changed, not just fluctuated.</w:t>
            </w:r>
          </w:p>
        </w:tc>
        <w:tc>
          <w:tcPr>
            <w:tcW w:type="dxa" w:w="1465"/>
          </w:tcPr>
          <w:p>
            <w:r>
              <w:t>DDM: tracks the online error rate against a warning level and a drift level, retraining once the drift level is crossed.</w:t>
            </w:r>
          </w:p>
        </w:tc>
        <w:tc>
          <w:tcPr>
            <w:tcW w:type="dxa" w:w="1465"/>
          </w:tcPr>
          <w:p>
            <w:r>
              <w:t>The most widely used classical drift detector; establishes the "retrain once a threshold is crossed" pattern telltale's CUSUM-based policy generalizes.</w:t>
            </w:r>
          </w:p>
        </w:tc>
        <w:tc>
          <w:tcPr>
            <w:tcW w:type="dxa" w:w="1465"/>
          </w:tcPr>
          <w:p>
            <w:r>
              <w:t>Needs a labeled error signal at every step, which is exactly what telltale's delayed labels make unavailable until D windows later.</w:t>
            </w:r>
          </w:p>
        </w:tc>
        <w:tc>
          <w:tcPr>
            <w:tcW w:type="dxa" w:w="1465"/>
          </w:tcPr>
          <w:p>
            <w:r>
              <w:t>Directly motivated the backstop (PRD 6.6): DDM's error-rate-triggered retrain idea is preserved, but only applied once labels mature, as a slower backstop behind the label-free monitor.</w:t>
            </w:r>
          </w:p>
        </w:tc>
      </w:tr>
      <w:tr>
        <w:tc>
          <w:tcPr>
            <w:tcW w:type="dxa" w:w="1465"/>
          </w:tcPr>
          <w:p>
            <w:r>
              <w:t>Page. Continuous inspection schemes. Biometrika, 41, 100-115, 1954.</w:t>
            </w:r>
          </w:p>
        </w:tc>
        <w:tc>
          <w:tcPr>
            <w:tcW w:type="dxa" w:w="1465"/>
          </w:tcPr>
          <w:p>
            <w:r>
              <w:t>Detecting a persistent shift in a process's mean from a stream of noisy observations, without over-reacting to single outliers.</w:t>
            </w:r>
          </w:p>
        </w:tc>
        <w:tc>
          <w:tcPr>
            <w:tcW w:type="dxa" w:w="1465"/>
          </w:tcPr>
          <w:p>
            <w:r>
              <w:t>CUSUM: accumulate the excess of each observation over a reference value, signal when the accumulated sum crosses a threshold; introduces the average run length (ARL) as the metric for how often false alarms occur.</w:t>
            </w:r>
          </w:p>
        </w:tc>
        <w:tc>
          <w:tcPr>
            <w:tcW w:type="dxa" w:w="1465"/>
          </w:tcPr>
          <w:p>
            <w:r>
              <w:t>This is the exact mechanism telltale's evidence combiner implements (PRD 6.5) and the ARL concept telltale's analytical model (A2) uses to predict the false alarm rate.</w:t>
            </w:r>
          </w:p>
        </w:tc>
        <w:tc>
          <w:tcPr>
            <w:tcW w:type="dxa" w:w="1465"/>
          </w:tcPr>
          <w:p>
            <w:r>
              <w:t>A classical statistical process control tool, not designed for multivariate, model-derived evidence signals.</w:t>
            </w:r>
          </w:p>
        </w:tc>
        <w:tc>
          <w:tcPr>
            <w:tcW w:type="dxa" w:w="1465"/>
          </w:tcPr>
          <w:p>
            <w:r>
              <w:t>Directly the basis of `telltale/monitors/cusum.py`: the slack-and-height one-sided accumulation rule is Page's original formulation applied to a drift-evidence signal instead of a process measurement.</w:t>
            </w:r>
          </w:p>
        </w:tc>
      </w:tr>
      <w:tr>
        <w:tc>
          <w:tcPr>
            <w:tcW w:type="dxa" w:w="1465"/>
          </w:tcPr>
          <w:p>
            <w:r>
              <w:t>Garg, Balakrishnan, Lipton, Neyshabur, Sedghi. Leveraging unlabeled data to predict out-of-distribution performance. ICLR, 2022.</w:t>
            </w:r>
          </w:p>
        </w:tc>
        <w:tc>
          <w:tcPr>
            <w:tcW w:type="dxa" w:w="1465"/>
          </w:tcPr>
          <w:p>
            <w:r>
              <w:t>Predicting how much a model's accuracy will degrade under distribution shift using only unlabeled target data.</w:t>
            </w:r>
          </w:p>
        </w:tc>
        <w:tc>
          <w:tcPr>
            <w:tcW w:type="dxa" w:w="1465"/>
          </w:tcPr>
          <w:p>
            <w:r>
              <w:t>ATC (Average Thresholded Confidence): learns a confidence threshold on labeled source data, then predicts target performance from the share of unlabeled target examples above that threshold.</w:t>
            </w:r>
          </w:p>
        </w:tc>
        <w:tc>
          <w:tcPr>
            <w:tcW w:type="dxa" w:w="1465"/>
          </w:tcPr>
          <w:p>
            <w:r>
              <w:t>The closest prior art to telltale's core premise: estimating performance degradation from unlabeled signals alone (confidence-based), without any new labels.</w:t>
            </w:r>
          </w:p>
        </w:tc>
        <w:tc>
          <w:tcPr>
            <w:tcW w:type="dxa" w:w="1465"/>
          </w:tcPr>
          <w:p>
            <w:r>
              <w:t>Evaluated on image classification benchmarks (ImageNet, CIFAR) under synthetic and natural shift, not a streaming, delayed-label, fraud setting.</w:t>
            </w:r>
          </w:p>
        </w:tc>
        <w:tc>
          <w:tcPr>
            <w:tcW w:type="dxa" w:w="1465"/>
          </w:tcPr>
          <w:p>
            <w:r>
              <w:t>Supports the design decision to include predictive-entropy and alert-rate-ratio as score-based evidence signals (PRD 6.4): ATC shows confidence-derived statistics alone carry real information about performance degradation.</w:t>
            </w:r>
          </w:p>
        </w:tc>
      </w:tr>
      <w:tr>
        <w:tc>
          <w:tcPr>
            <w:tcW w:type="dxa" w:w="1465"/>
          </w:tcPr>
          <w:p>
            <w:r>
              <w:t>Gretton, Borgwardt, Rasch, Schoelkopf, Smola. A kernel two-sample test. Journal of Machine Learning Research, 13, 723-773, 2012.</w:t>
            </w:r>
          </w:p>
        </w:tc>
        <w:tc>
          <w:tcPr>
            <w:tcW w:type="dxa" w:w="1465"/>
          </w:tcPr>
          <w:p>
            <w:r>
              <w:t>Testing whether two samples come from the same distribution without assuming a parametric form.</w:t>
            </w:r>
          </w:p>
        </w:tc>
        <w:tc>
          <w:tcPr>
            <w:tcW w:type="dxa" w:w="1465"/>
          </w:tcPr>
          <w:p>
            <w:r>
              <w:t>Maximum Mean Discrepancy (MMD): the largest difference in expectations over functions in a reproducing kernel Hilbert space, with distribution-free hypothesis tests built on it.</w:t>
            </w:r>
          </w:p>
        </w:tc>
        <w:tc>
          <w:tcPr>
            <w:tcW w:type="dxa" w:w="1465"/>
          </w:tcPr>
          <w:p>
            <w:r>
              <w:t>A classifier-free, nonparametric two-sample test; a natural alternative to telltale's PSI/KS-based input drift monitor.</w:t>
            </w:r>
          </w:p>
        </w:tc>
        <w:tc>
          <w:tcPr>
            <w:tcW w:type="dxa" w:w="1465"/>
          </w:tcPr>
          <w:p>
            <w:r>
              <w:t>Kernel choice and bandwidth matter a great deal in practice and are not fixed automatically; computationally heavier than PSI at telltale's window sizes.</w:t>
            </w:r>
          </w:p>
        </w:tc>
        <w:tc>
          <w:tcPr>
            <w:tcW w:type="dxa" w:w="1465"/>
          </w:tcPr>
          <w:p>
            <w:r>
              <w:t>Used as a comparison point in the desk-study table: PSI and KS were chosen over MMD for telltale's input monitor mainly for computational cost at a 2000-row window size and interpretability (per-feature PSI explains an alarm; an MMD statistic does not, on its own).</w:t>
            </w:r>
          </w:p>
        </w:tc>
      </w:tr>
      <w:tr>
        <w:tc>
          <w:tcPr>
            <w:tcW w:type="dxa" w:w="1465"/>
          </w:tcPr>
          <w:p>
            <w:r>
              <w:t>Lipton, Wang, Smola. Detecting and correcting for label shift with black box predictors. ICML, 2018.</w:t>
            </w:r>
          </w:p>
        </w:tc>
        <w:tc>
          <w:tcPr>
            <w:tcW w:type="dxa" w:w="1465"/>
          </w:tcPr>
          <w:p>
            <w:r>
              <w:t>Correcting for a change in the label marginal P(y) while P(X given y) stays fixed, using only a black-box classifier's predictions.</w:t>
            </w:r>
          </w:p>
        </w:tc>
        <w:tc>
          <w:tcPr>
            <w:tcW w:type="dxa" w:w="1465"/>
          </w:tcPr>
          <w:p>
            <w:r>
              <w:t>BBSE (Black Box Shift Estimation): estimates the test label distribution from a classifier's confusion matrix on source data and its predictions on target data.</w:t>
            </w:r>
          </w:p>
        </w:tc>
        <w:tc>
          <w:tcPr>
            <w:tcW w:type="dxa" w:w="1465"/>
          </w:tcPr>
          <w:p>
            <w:r>
              <w:t>A contrasting failure mode to telltale's main scenarios: label shift (prevalence changes, relationship stable) rather than covariate or concept drift; directly relevant to the P2 scenario S7 (prevalence shift).</w:t>
            </w:r>
          </w:p>
        </w:tc>
        <w:tc>
          <w:tcPr>
            <w:tcW w:type="dxa" w:w="1465"/>
          </w:tcPr>
          <w:p>
            <w:r>
              <w:t>Needs an invertible confusion matrix and, like most label-shift correction, is not built for a streaming, delayed-label setting.</w:t>
            </w:r>
          </w:p>
        </w:tc>
        <w:tc>
          <w:tcPr>
            <w:tcW w:type="dxa" w:w="1465"/>
          </w:tcPr>
          <w:p>
            <w:r>
              <w:t>Clarified why S7 (fraud prevalence doubling) is conceptually distinct from S1 to S5 and should be treated as its own scenario rather than folded into covariate drift.</w:t>
            </w:r>
          </w:p>
        </w:tc>
      </w:tr>
      <w:tr>
        <w:tc>
          <w:tcPr>
            <w:tcW w:type="dxa" w:w="1465"/>
          </w:tcPr>
          <w:p>
            <w:r>
              <w:t>Shimodaira. Improving predictive inference under covariate shift by weighting the log-likelihood function. Journal of Statistical Planning and Inference, 90, 227-244, 2000.</w:t>
            </w:r>
          </w:p>
        </w:tc>
        <w:tc>
          <w:tcPr>
            <w:tcW w:type="dxa" w:w="1465"/>
          </w:tcPr>
          <w:p>
            <w:r>
              <w:t>Standard maximum likelihood is not optimal when training and test inputs come from different distributions but the conditional P(y given X) is unchanged.</w:t>
            </w:r>
          </w:p>
        </w:tc>
        <w:tc>
          <w:tcPr>
            <w:tcW w:type="dxa" w:w="1465"/>
          </w:tcPr>
          <w:p>
            <w:r>
              <w:t>Importance-weighted log-likelihood: reweight training examples by the ratio of test to train input density.</w:t>
            </w:r>
          </w:p>
        </w:tc>
        <w:tc>
          <w:tcPr>
            <w:tcW w:type="dxa" w:w="1465"/>
          </w:tcPr>
          <w:p>
            <w:r>
              <w:t>Introduced the term "covariate shift" and the importance-weighting idea that underlies interim adaptation.</w:t>
            </w:r>
          </w:p>
        </w:tc>
        <w:tc>
          <w:tcPr>
            <w:tcW w:type="dxa" w:w="1465"/>
          </w:tcPr>
          <w:p>
            <w:r>
              <w:t>The importance ratio itself must be estimated, which is hard in high dimensions and adds its own variance.</w:t>
            </w:r>
          </w:p>
        </w:tc>
        <w:tc>
          <w:tcPr>
            <w:tcW w:type="dxa" w:w="1465"/>
          </w:tcPr>
          <w:p>
            <w:r>
              <w:t>Basis for the P1 interim-adaptation ablation (PRD 6.8): reweighting matured labels by an estimated density ratio between reference and recent windows, to bridge the gap until the next full retrain.</w:t>
            </w:r>
          </w:p>
        </w:tc>
      </w:tr>
      <w:tr>
        <w:tc>
          <w:tcPr>
            <w:tcW w:type="dxa" w:w="1465"/>
          </w:tcPr>
          <w:p>
            <w:r>
              <w:t>Siddiqi. Credit Risk Scorecards: Developing and Implementing Intelligent Credit Scoring. Wiley, 2006.</w:t>
            </w:r>
          </w:p>
        </w:tc>
        <w:tc>
          <w:tcPr>
            <w:tcW w:type="dxa" w:w="1465"/>
          </w:tcPr>
          <w:p>
            <w:r>
              <w:t>How practicing credit-risk teams monitor whether a scorecard's population has drifted from when it was built.</w:t>
            </w:r>
          </w:p>
        </w:tc>
        <w:tc>
          <w:tcPr>
            <w:tcW w:type="dxa" w:w="1465"/>
          </w:tcPr>
          <w:p>
            <w:r>
              <w:t>Population Stability Index (PSI): a binned, asymmetric discrepancy measure between two distributions, with PSI below 0.1 read as stable and above 0.25 as a population shift in industry practice.</w:t>
            </w:r>
          </w:p>
        </w:tc>
        <w:tc>
          <w:tcPr>
            <w:tcW w:type="dxa" w:w="1465"/>
          </w:tcPr>
          <w:p>
            <w:r>
              <w:t>This is the exact statistic telltale's input and score monitors are built on (PRD 6.3, 6.4), including the practitioner thresholds that motivated the generator's own 0.25 PSI check for "near null" in the Phase 1 acceptance tests.</w:t>
            </w:r>
          </w:p>
        </w:tc>
        <w:tc>
          <w:tcPr>
            <w:tcW w:type="dxa" w:w="1465"/>
          </w:tcPr>
          <w:p>
            <w:r>
              <w:t>An industry handbook, not a peer-reviewed statistical paper; PSI's behavior under small samples and sensitivity to binning (PRD risk 9) is not formally analyzed here.</w:t>
            </w:r>
          </w:p>
        </w:tc>
        <w:tc>
          <w:tcPr>
            <w:tcW w:type="dxa" w:w="1465"/>
          </w:tcPr>
          <w:p>
            <w:r>
              <w:t>Directly the source of PSI as telltale's primary drift statistic, and of the 0.25 threshold used informally while checking that S4 leaves feature marginals near-null.</w:t>
            </w:r>
          </w:p>
        </w:tc>
      </w:tr>
      <w:tr>
        <w:tc>
          <w:tcPr>
            <w:tcW w:type="dxa" w:w="1465"/>
          </w:tcPr>
          <w:p>
            <w:r>
              <w:t>Machine Learning Group, Universite Libre de Bruxelles. Credit Card Fraud Detection (Kaggle dataset, mlg-ulb/creditcardfraud).</w:t>
            </w:r>
          </w:p>
        </w:tc>
        <w:tc>
          <w:tcPr>
            <w:tcW w:type="dxa" w:w="1465"/>
          </w:tcPr>
          <w:p>
            <w:r>
              <w:t>Public benchmark for card-fraud detection research.</w:t>
            </w:r>
          </w:p>
        </w:tc>
        <w:tc>
          <w:tcPr>
            <w:tcW w:type="dxa" w:w="1465"/>
          </w:tcPr>
          <w:p>
            <w:r>
              <w:t>284,807 European cardholder transactions from September 2013, 492 of them fraud, 28 PCA-anonymised features plus Time and Amount.</w:t>
            </w:r>
          </w:p>
        </w:tc>
        <w:tc>
          <w:tcPr>
            <w:tcW w:type="dxa" w:w="1465"/>
          </w:tcPr>
          <w:p>
            <w:r>
              <w:t>The dataset PRD Section 5.4's P1 real-data check is built on; the exact transaction and fraud counts were confirmed.</w:t>
            </w:r>
          </w:p>
        </w:tc>
        <w:tc>
          <w:tcPr>
            <w:tcW w:type="dxa" w:w="1465"/>
          </w:tcPr>
          <w:p>
            <w:r>
              <w:t>Only 492 frauds over two days, anonymised PCA features (no semantic meaning, so no feature-level alarm explanation is possible), and no natural drift to exploit, hence telltale's semi-synthetic approach of injecting drift into it.</w:t>
            </w:r>
          </w:p>
        </w:tc>
        <w:tc>
          <w:tcPr>
            <w:tcW w:type="dxa" w:w="1465"/>
          </w:tcPr>
          <w:p>
            <w:r>
              <w:t>Confirms the P1 real-data check's stated limitation (PRD 5.4) that detection-only evaluation, not retraining, is appropriate given how little natural variation two days of data contain.</w:t>
            </w:r>
          </w:p>
        </w:tc>
      </w:tr>
    </w:tbl>
    <w:p>
      <w:r>
        <w:rPr>
          <w:b/>
        </w:rPr>
        <w:t>Review, grouped by theme</w:t>
      </w:r>
    </w:p>
    <w:p>
      <w:r>
        <w:t>Three themes ground telltale's method. The first is concept drift taxonomy and detection: Gama et al. (2014) and Webb et al. (2016) give the vocabulary and formal distinction between a changing input distribution and a changing input-output relationship that telltale's scenario design (S1 to S3 versus S4) is built on, while Bifet and Gavalda (2007) and Gama et al. (2004) are the classical adaptive-window and error-rate detectors that motivate why telltale needs something different: both need a labeled error signal at every step, which delayed labels make unavailable. The second is fraud detection under delayed labels specifically: the three Dal Pozzolo et al. papers (2014, 2015, 2018) are the closest domain-specific prior work, naming verification latency, imbalance and drift as the practical obstacles and showing that pooling versus separating delayed and feedback labels changes results, which is exactly the distinction telltale's label vault and backstop are built to respect. The third is label-free and unsupervised signals for detecting degradation: Rabanser et al. (2019) and Gretton et al. (2012) cover two-sample testing as a general tool, Siddiqi (2006) supplies PSI as the specific statistic telltale uses, and Garg et al. (2022) is the closest prior work to telltale's central claim, that unlabeled, confidence-derived signals carry real information about performance degradation. Shimodaira (2000) and Lipton et al. (2018) round this out by giving the theoretical vocabulary (covariate shift, label shift) for drift types telltale treats as distinct scenarios, and Page (1954) supplies the CUSUM mechanism that turns any of these per-window statistics into a persistence-aware alarm. The Kaggle dataset is the one real-world artifact tying the synthetic scenarios back to an actual fraud stream, within the limits its size and anonymisation allow.</w:t>
      </w:r>
    </w:p>
    <w:p>
      <w:r>
        <w:rPr>
          <w:b/>
        </w:rPr>
        <w:t>The gap telltale fills</w:t>
      </w:r>
    </w:p>
    <w:p>
      <w:r>
        <w:t>None of the sources above combine three things at once: a detector that works without labels (the Dal Pozzolo and DDM-style work needs a labeled error signal; Garg et al. gets close but is not evaluated under label delay or on a streaming retrain policy), explicit treatment of the delay between a transaction and its confirmed label as a first-class simulation parameter rather than an assumption, and a retrain policy that is allowed to defer based on a label-free alarm while a separate, slower backstop (DDM's error-rate idea, applied once labels mature) catches what the label-free signals structurally cannot see (pure concept drift, S4). That combination, label-free early warning plus a delayed-label backstop plus a deferred retrain timed to when enough fresh labels exist, is the gap this project fills.</w:t>
      </w:r>
    </w:p>
    <w:p>
      <w:r>
        <w:rPr>
          <w:b/>
        </w:rPr>
        <w:t>Verified but not included in the final table</w:t>
      </w:r>
    </w:p>
    <w:p>
      <w:r>
        <w:t>These five seed entries were confirmed as real publications during the same search pass but left out of the 15-entry table above for space and topical overlap with an entry already included, not because of any doubt about them:</w:t>
      </w:r>
    </w:p>
    <w:p>
      <w:pPr>
        <w:pStyle w:val="BulletedList"/>
      </w:pPr>
      <w:r>
        <w:t>Lu, Liu, Dong, Gu, Gama, Zhang. Learning under concept drift: a review. IEEE TKDE, 31(12), 2346-2363, 2019. Confirmed (over 130 publications reviewed, three-part framework of detection, understanding, adaptation). Overlaps with Gama et al. (2014) already in the table.</w:t>
      </w:r>
    </w:p>
    <w:p>
      <w:pPr>
        <w:pStyle w:val="BulletedList"/>
      </w:pPr>
      <w:r>
        <w:t>Hendrycks, Gimpel. A baseline for detecting misclassified and out-of-distribution examples in neural networks. ICLR, 2017. Confirmed (softmax-probability baseline for OOD detection). Overlaps with Garg et al. (2022), which is a more direct match to telltale's confidence-based score signals.</w:t>
      </w:r>
    </w:p>
    <w:p>
      <w:pPr>
        <w:pStyle w:val="BulletedList"/>
      </w:pPr>
      <w:r>
        <w:t>Sugiyama, Krauledat, Mueller. Covariate shift adaptation by importance weighted cross validation. JMLR, 8, 985-1005, 2007. Confirmed (unbiased importance-weighted cross-validation under covariate shift). Overlaps with Shimodaira (2000), the earlier and more foundational source for the same P1 interim-adaptation idea.</w:t>
      </w:r>
    </w:p>
    <w:p>
      <w:pPr>
        <w:pStyle w:val="BulletedList"/>
      </w:pPr>
      <w:r>
        <w:t>Sculley and colleagues. Hidden technical debt in machine learning systems. NeurIPS, 2503-2511, 2015. Confirmed (names hidden feedback loops, entanglement, and undeclared consumers as ML-specific maintenance risks). Relevant to the project's own risk list (PRD 14.3 item 5, the feedback-loop risk) rather than to the method itself.</w:t>
      </w:r>
    </w:p>
    <w:p>
      <w:pPr>
        <w:pStyle w:val="BulletedList"/>
      </w:pPr>
      <w:r>
        <w:t>Ovadia, Fertig, Ren, Nado, Sculley, Nowozin, Dillon, Lakshminarayanan, Snoek. Can you trust your model's uncertainty? Evaluating predictive uncertainty under dataset shift. NeurIPS, 2019. Confirmed (large-scale benchmark of uncertainty methods under dataset shift). General background for using predictive entropy as a drift signal, without a specific design choice traceable to it the way Garg et al. (2022) has one.</w:t>
      </w:r>
    </w:p>
    <w:p w14:paraId="333E0084" w14:textId="56690A4A" w:rsidR="00126C80" w:rsidRPr="00EA02AA" w:rsidRDefault="00F91998" w:rsidP="00694AAA">
      <w:pPr>
        <w:pStyle w:val="Heading1"/>
        <w:numPr>
          <w:ilvl w:val="0"/>
          <w:numId w:val="0"/>
        </w:numPr>
        <w:ind w:left="357"/>
        <w:jc w:val="center"/>
        <w:rPr>
          <w:rFonts w:ascii="Times New Roman" w:hAnsi="Times New Roman"/>
        </w:rPr>
      </w:pPr>
      <w:bookmarkStart w:id="10" w:name="_Toc118543909"/>
      <w:bookmarkStart w:id="11" w:name="_Toc22116036"/>
      <w:bookmarkStart w:id="12" w:name="_Toc22116160"/>
      <w:bookmarkStart w:id="13" w:name="_Toc22116170"/>
      <w:r>
        <w:rPr>
          <w:rFonts w:ascii="Times New Roman" w:hAnsi="Times New Roman"/>
        </w:rPr>
        <w:t>3. Concept Sketches, Equations, and Models</w:t>
      </w:r>
      <w:r w:rsidR="00694AAA">
        <w:rPr>
          <w:rFonts w:ascii="Times New Roman" w:hAnsi="Times New Roman"/>
        </w:rPr>
      </w:r>
      <w:r w:rsidR="00745F82">
        <w:rPr>
          <w:rFonts w:ascii="Times New Roman" w:hAnsi="Times New Roman"/>
        </w:rPr>
      </w:r>
      <w:bookmarkEnd w:id="10"/>
    </w:p>
    <w:p w14:paraId="6CA6A503" w14:textId="173DAB43" w:rsidR="00126C80" w:rsidRPr="00EA02AA" w:rsidRDefault="00F91998" w:rsidP="00694AAA">
      <w:pPr>
        <w:pStyle w:val="Heading2"/>
        <w:numPr>
          <w:ilvl w:val="0"/>
          <w:numId w:val="0"/>
        </w:numPr>
        <w:rPr>
          <w:rFonts w:ascii="Times New Roman" w:hAnsi="Times New Roman"/>
        </w:rPr>
      </w:pPr>
      <w:bookmarkStart w:id="14" w:name="_Toc118543910"/>
      <w:r>
        <w:rPr>
          <w:rFonts w:ascii="Times New Roman" w:hAnsi="Times New Roman"/>
        </w:rPr>
        <w:t>3.1 Concept sketches</w:t>
      </w:r>
      <w:r w:rsidR="00694AAA">
        <w:rPr>
          <w:rFonts w:ascii="Times New Roman" w:hAnsi="Times New Roman"/>
        </w:rPr>
      </w:r>
      <w:bookmarkEnd w:id="11"/>
      <w:bookmarkEnd w:id="12"/>
      <w:bookmarkEnd w:id="13"/>
      <w:bookmarkEnd w:id="14"/>
      <w:r w:rsidR="00745F82">
        <w:rPr>
          <w:rFonts w:ascii="Times New Roman" w:hAnsi="Times New Roman"/>
        </w:rPr>
      </w:r>
    </w:p>
    <w:p>
      <w:r>
        <w:drawing>
          <wp:inline xmlns:a="http://schemas.openxmlformats.org/drawingml/2006/main" xmlns:pic="http://schemas.openxmlformats.org/drawingml/2006/picture">
            <wp:extent cx="5486400" cy="3990109"/>
            <wp:docPr id="12" name="Picture 12"/>
            <wp:cNvGraphicFramePr>
              <a:graphicFrameLocks noChangeAspect="1"/>
            </wp:cNvGraphicFramePr>
            <a:graphic>
              <a:graphicData uri="http://schemas.openxmlformats.org/drawingml/2006/picture">
                <pic:pic>
                  <pic:nvPicPr>
                    <pic:cNvPr id="0" name="architecture_diagram.png"/>
                    <pic:cNvPicPr/>
                  </pic:nvPicPr>
                  <pic:blipFill>
                    <a:blip r:embed="rId20"/>
                    <a:stretch>
                      <a:fillRect/>
                    </a:stretch>
                  </pic:blipFill>
                  <pic:spPr>
                    <a:xfrm>
                      <a:off x="0" y="0"/>
                      <a:ext cx="5486400" cy="3990109"/>
                    </a:xfrm>
                    <a:prstGeom prst="rect"/>
                  </pic:spPr>
                </pic:pic>
              </a:graphicData>
            </a:graphic>
          </wp:inline>
        </w:drawing>
      </w:r>
    </w:p>
    <w:p>
      <w:r>
        <w:t>Figure 1. telltale architecture.</w:t>
      </w:r>
    </w:p>
    <w:p>
      <w:r>
        <w:drawing>
          <wp:inline xmlns:a="http://schemas.openxmlformats.org/drawingml/2006/main" xmlns:pic="http://schemas.openxmlformats.org/drawingml/2006/picture">
            <wp:extent cx="5486400" cy="2244436"/>
            <wp:docPr id="13" name="Picture 13"/>
            <wp:cNvGraphicFramePr>
              <a:graphicFrameLocks noChangeAspect="1"/>
            </wp:cNvGraphicFramePr>
            <a:graphic>
              <a:graphicData uri="http://schemas.openxmlformats.org/drawingml/2006/picture">
                <pic:pic>
                  <pic:nvPicPr>
                    <pic:cNvPr id="0" name="label_delay_timeline.png"/>
                    <pic:cNvPicPr/>
                  </pic:nvPicPr>
                  <pic:blipFill>
                    <a:blip r:embed="rId21"/>
                    <a:stretch>
                      <a:fillRect/>
                    </a:stretch>
                  </pic:blipFill>
                  <pic:spPr>
                    <a:xfrm>
                      <a:off x="0" y="0"/>
                      <a:ext cx="5486400" cy="2244436"/>
                    </a:xfrm>
                    <a:prstGeom prst="rect"/>
                  </pic:spPr>
                </pic:pic>
              </a:graphicData>
            </a:graphic>
          </wp:inline>
        </w:drawing>
      </w:r>
    </w:p>
    <w:p>
      <w:r>
        <w:t>Figure 2. Label-delay timeline, one drift event (pilot).</w:t>
      </w:r>
    </w:p>
    <w:p>
      <w:r>
        <w:drawing>
          <wp:inline xmlns:a="http://schemas.openxmlformats.org/drawingml/2006/main" xmlns:pic="http://schemas.openxmlformats.org/drawingml/2006/picture">
            <wp:extent cx="5486400" cy="1371600"/>
            <wp:docPr id="14" name="Picture 14"/>
            <wp:cNvGraphicFramePr>
              <a:graphicFrameLocks noChangeAspect="1"/>
            </wp:cNvGraphicFramePr>
            <a:graphic>
              <a:graphicData uri="http://schemas.openxmlformats.org/drawingml/2006/picture">
                <pic:pic>
                  <pic:nvPicPr>
                    <pic:cNvPr id="0" name="drift_taxonomy.png"/>
                    <pic:cNvPicPr/>
                  </pic:nvPicPr>
                  <pic:blipFill>
                    <a:blip r:embed="rId22"/>
                    <a:stretch>
                      <a:fillRect/>
                    </a:stretch>
                  </pic:blipFill>
                  <pic:spPr>
                    <a:xfrm>
                      <a:off x="0" y="0"/>
                      <a:ext cx="5486400" cy="1371600"/>
                    </a:xfrm>
                    <a:prstGeom prst="rect"/>
                  </pic:spPr>
                </pic:pic>
              </a:graphicData>
            </a:graphic>
          </wp:inline>
        </w:drawing>
      </w:r>
    </w:p>
    <w:p>
      <w:r>
        <w:t>Figure 3. Drift taxonomy: sudden, gradual, recurring, concept.</w:t>
      </w:r>
    </w:p>
    <w:p w14:paraId="2A7F8913" w14:textId="1A3B1078" w:rsidR="002D5036" w:rsidRDefault="00745F82" w:rsidP="0072219A">
      <w:pPr>
        <w:rPr>
          <w:lang w:val="en-GB"/>
        </w:rPr>
      </w:pPr>
      <w:r>
        <w:rPr>
          <w:lang w:val="en-GB"/>
        </w:rPr>
      </w:r>
    </w:p>
    <w:p>
      <w:r>
        <w:t>Three figures (built by `telltale.cli make-figures`, saved under `results/figures/`):</w:t>
      </w:r>
    </w:p>
    <w:p>
      <w:pPr>
        <w:pStyle w:val="BulletedList"/>
      </w:pPr>
      <w:r>
        <w:t>Architecture diagram: the full pipeline from the stream source through the drift injector, deployed model, label vault, monitors, evidence combiner, backstop, and retrain policy, to the retrainer and the logger. Mirrors PRD Section 4.1's diagram.</w:t>
      </w:r>
    </w:p>
    <w:p>
      <w:pPr>
        <w:pStyle w:val="BulletedList"/>
      </w:pPr>
      <w:r>
        <w:t>Label-delay timeline: one drift event (S1 moderate) shown on a single timeline, marking the true onset, the label-free alarm, the point the post-alarm labels mature, the retrain, and the recovery in measured performance. Makes the gap between "detected" and "acted on" visible.</w:t>
      </w:r>
    </w:p>
    <w:p>
      <w:pPr>
        <w:pStyle w:val="BulletedList"/>
      </w:pPr>
      <w:r>
        <w:t>Drift taxonomy sketch: sudden, gradual, recurring, and concept drift drawn as four small panels of a signal over time, so the difference between "the input moved" (the first three) and "the relationship moved while the input looks the same" (the fourth) is visually obvious before any equation is introduced.</w:t>
      </w:r>
    </w:p>
    <w:p w14:paraId="66C7CE1D" w14:textId="28B1AC71" w:rsidR="00745F82" w:rsidRDefault="00745F82" w:rsidP="0072219A">
      <w:r>
        <w:t>Concept Sketches</w:t>
      </w:r>
    </w:p>
    <w:p w14:paraId="7905EA4C" w14:textId="39D73F5D" w:rsidR="00745F82" w:rsidRPr="00EA02AA" w:rsidRDefault="00745F82" w:rsidP="00745F82">
      <w:pPr>
        <w:pStyle w:val="Heading2"/>
        <w:numPr>
          <w:ilvl w:val="0"/>
          <w:numId w:val="0"/>
        </w:numPr>
        <w:rPr>
          <w:rFonts w:ascii="Times New Roman" w:hAnsi="Times New Roman"/>
        </w:rPr>
      </w:pPr>
      <w:r>
        <w:rPr>
          <w:rFonts w:ascii="Times New Roman" w:hAnsi="Times New Roman"/>
        </w:rPr>
        <w:t>3.2 Equations</w:t>
      </w:r>
      <w:r>
        <w:rPr>
          <w:rFonts w:ascii="Times New Roman" w:hAnsi="Times New Roman"/>
        </w:rPr>
      </w:r>
      <w:r>
        <w:rPr>
          <w:rFonts w:ascii="Times New Roman" w:hAnsi="Times New Roman"/>
        </w:rPr>
      </w:r>
      <w:r>
        <w:rPr>
          <w:rFonts w:ascii="Times New Roman" w:hAnsi="Times New Roman"/>
        </w:rPr>
      </w:r>
    </w:p>
    <w:p>
      <w:r>
        <w:drawing>
          <wp:inline xmlns:a="http://schemas.openxmlformats.org/drawingml/2006/main" xmlns:pic="http://schemas.openxmlformats.org/drawingml/2006/picture">
            <wp:extent cx="3657600" cy="943200"/>
            <wp:docPr id="7" name="Picture 7"/>
            <wp:cNvGraphicFramePr>
              <a:graphicFrameLocks noChangeAspect="1"/>
            </wp:cNvGraphicFramePr>
            <a:graphic>
              <a:graphicData uri="http://schemas.openxmlformats.org/drawingml/2006/picture">
                <pic:pic>
                  <pic:nvPicPr>
                    <pic:cNvPr id="0" name="eq_psi.png"/>
                    <pic:cNvPicPr/>
                  </pic:nvPicPr>
                  <pic:blipFill>
                    <a:blip r:embed="rId15"/>
                    <a:stretch>
                      <a:fillRect/>
                    </a:stretch>
                  </pic:blipFill>
                  <pic:spPr>
                    <a:xfrm>
                      <a:off x="0" y="0"/>
                      <a:ext cx="3657600" cy="943200"/>
                    </a:xfrm>
                    <a:prstGeom prst="rect"/>
                  </pic:spPr>
                </pic:pic>
              </a:graphicData>
            </a:graphic>
          </wp:inline>
        </w:drawing>
      </w:r>
    </w:p>
    <w:p>
      <w:r>
        <w:t>Population stability index</w:t>
      </w:r>
    </w:p>
    <w:p>
      <w:r>
        <w:drawing>
          <wp:inline xmlns:a="http://schemas.openxmlformats.org/drawingml/2006/main" xmlns:pic="http://schemas.openxmlformats.org/drawingml/2006/picture">
            <wp:extent cx="3657600" cy="600591"/>
            <wp:docPr id="8" name="Picture 8"/>
            <wp:cNvGraphicFramePr>
              <a:graphicFrameLocks noChangeAspect="1"/>
            </wp:cNvGraphicFramePr>
            <a:graphic>
              <a:graphicData uri="http://schemas.openxmlformats.org/drawingml/2006/picture">
                <pic:pic>
                  <pic:nvPicPr>
                    <pic:cNvPr id="0" name="eq_ks.png"/>
                    <pic:cNvPicPr/>
                  </pic:nvPicPr>
                  <pic:blipFill>
                    <a:blip r:embed="rId16"/>
                    <a:stretch>
                      <a:fillRect/>
                    </a:stretch>
                  </pic:blipFill>
                  <pic:spPr>
                    <a:xfrm>
                      <a:off x="0" y="0"/>
                      <a:ext cx="3657600" cy="600591"/>
                    </a:xfrm>
                    <a:prstGeom prst="rect"/>
                  </pic:spPr>
                </pic:pic>
              </a:graphicData>
            </a:graphic>
          </wp:inline>
        </w:drawing>
      </w:r>
    </w:p>
    <w:p>
      <w:r>
        <w:t>Kolmogorov-Smirnov statistic</w:t>
      </w:r>
    </w:p>
    <w:p>
      <w:r>
        <w:drawing>
          <wp:inline xmlns:a="http://schemas.openxmlformats.org/drawingml/2006/main" xmlns:pic="http://schemas.openxmlformats.org/drawingml/2006/picture">
            <wp:extent cx="3657600" cy="427313"/>
            <wp:docPr id="9" name="Picture 9"/>
            <wp:cNvGraphicFramePr>
              <a:graphicFrameLocks noChangeAspect="1"/>
            </wp:cNvGraphicFramePr>
            <a:graphic>
              <a:graphicData uri="http://schemas.openxmlformats.org/drawingml/2006/picture">
                <pic:pic>
                  <pic:nvPicPr>
                    <pic:cNvPr id="0" name="eq_entropy.png"/>
                    <pic:cNvPicPr/>
                  </pic:nvPicPr>
                  <pic:blipFill>
                    <a:blip r:embed="rId17"/>
                    <a:stretch>
                      <a:fillRect/>
                    </a:stretch>
                  </pic:blipFill>
                  <pic:spPr>
                    <a:xfrm>
                      <a:off x="0" y="0"/>
                      <a:ext cx="3657600" cy="427313"/>
                    </a:xfrm>
                    <a:prstGeom prst="rect"/>
                  </pic:spPr>
                </pic:pic>
              </a:graphicData>
            </a:graphic>
          </wp:inline>
        </w:drawing>
      </w:r>
    </w:p>
    <w:p>
      <w:r>
        <w:t>Predictive entropy</w:t>
      </w:r>
    </w:p>
    <w:p>
      <w:r>
        <w:drawing>
          <wp:inline xmlns:a="http://schemas.openxmlformats.org/drawingml/2006/main" xmlns:pic="http://schemas.openxmlformats.org/drawingml/2006/picture">
            <wp:extent cx="3657600" cy="503670"/>
            <wp:docPr id="10" name="Picture 10"/>
            <wp:cNvGraphicFramePr>
              <a:graphicFrameLocks noChangeAspect="1"/>
            </wp:cNvGraphicFramePr>
            <a:graphic>
              <a:graphicData uri="http://schemas.openxmlformats.org/drawingml/2006/picture">
                <pic:pic>
                  <pic:nvPicPr>
                    <pic:cNvPr id="0" name="eq_cusum.png"/>
                    <pic:cNvPicPr/>
                  </pic:nvPicPr>
                  <pic:blipFill>
                    <a:blip r:embed="rId18"/>
                    <a:stretch>
                      <a:fillRect/>
                    </a:stretch>
                  </pic:blipFill>
                  <pic:spPr>
                    <a:xfrm>
                      <a:off x="0" y="0"/>
                      <a:ext cx="3657600" cy="503670"/>
                    </a:xfrm>
                    <a:prstGeom prst="rect"/>
                  </pic:spPr>
                </pic:pic>
              </a:graphicData>
            </a:graphic>
          </wp:inline>
        </w:drawing>
      </w:r>
    </w:p>
    <w:p>
      <w:r>
        <w:t>CUSUM recursion (Page, 1954)</w:t>
      </w:r>
    </w:p>
    <w:p>
      <w:r>
        <w:drawing>
          <wp:inline xmlns:a="http://schemas.openxmlformats.org/drawingml/2006/main" xmlns:pic="http://schemas.openxmlformats.org/drawingml/2006/picture">
            <wp:extent cx="3657600" cy="625266"/>
            <wp:docPr id="11" name="Picture 11"/>
            <wp:cNvGraphicFramePr>
              <a:graphicFrameLocks noChangeAspect="1"/>
            </wp:cNvGraphicFramePr>
            <a:graphic>
              <a:graphicData uri="http://schemas.openxmlformats.org/drawingml/2006/picture">
                <pic:pic>
                  <pic:nvPicPr>
                    <pic:cNvPr id="0" name="eq_recall.png"/>
                    <pic:cNvPicPr/>
                  </pic:nvPicPr>
                  <pic:blipFill>
                    <a:blip r:embed="rId19"/>
                    <a:stretch>
                      <a:fillRect/>
                    </a:stretch>
                  </pic:blipFill>
                  <pic:spPr>
                    <a:xfrm>
                      <a:off x="0" y="0"/>
                      <a:ext cx="3657600" cy="625266"/>
                    </a:xfrm>
                    <a:prstGeom prst="rect"/>
                  </pic:spPr>
                </pic:pic>
              </a:graphicData>
            </a:graphic>
          </wp:inline>
        </w:drawing>
      </w:r>
    </w:p>
    <w:p>
      <w:r>
        <w:t>Recall at the alert budget</w:t>
      </w:r>
    </w:p>
    <w:p w14:paraId="3F22CB5D" w14:textId="19B55F98" w:rsidR="00745F82" w:rsidRDefault="00745F82" w:rsidP="00745F82">
      <w:r/>
    </w:p>
    <w:p>
      <w:r>
        <w:t>Population stability index (PSI). For a reference sample and a current sample, both binned into the same k bins (here k=10, edges taken as quantiles of the reference):</w:t>
      </w:r>
    </w:p>
    <w:p>
      <w:r>
        <w:t>PSI = sum over bins i of (c_i - r_i) * ln(c_i / r_i)</w:t>
      </w:r>
    </w:p>
    <w:p>
      <w:r>
        <w:t>where r_i and c_i are the reference and current fraction of observations in bin i. PSI is zero when the two samples are binned identically and grows as the current sample's distribution moves away from the reference's. telltale computes PSI per feature and aggregates a window's input-drift value as the mean of the five largest per-feature PSI values (PRD 6.3), so a handful of genuinely shifted features drive the signal instead of being diluted by sixteen that did not move.</w:t>
      </w:r>
    </w:p>
    <w:p>
      <w:r>
        <w:t>Kolmogorov-Smirnov (KS) statistic. The maximum absolute difference between the reference and current empirical cumulative distribution functions:</w:t>
      </w:r>
    </w:p>
    <w:p>
      <w:r>
        <w:t>KS = max over x of |F_reference(x) - F_current(x)|</w:t>
      </w:r>
    </w:p>
    <w:p>
      <w:r>
        <w:t>Computed per feature alongside PSI as a second, complementary view of the same question (PRD 6.3); used for diagnosis (which features moved and by how much) rather than feeding the alarm threshold directly.</w:t>
      </w:r>
    </w:p>
    <w:p>
      <w:r>
        <w:t>Predictive entropy. For a predicted fraud probability p (clipped away from 0 and 1 to avoid a logarithm of zero):</w:t>
      </w:r>
    </w:p>
    <w:p>
      <w:r>
        <w:t>H(p) = -p * ln(p) - (1 - p) * ln(1 - p)</w:t>
      </w:r>
    </w:p>
    <w:p>
      <w:r>
        <w:t>A model that has become less certain about its own predictions, on average, shows a rising mean entropy relative to its reference-period baseline; one of the three raw score-drift statistics (PRD 6.4), alongside the log-odds PSI and the alert-rate ratio.</w:t>
      </w:r>
    </w:p>
    <w:p>
      <w:r>
        <w:t>CUSUM recursion. The evidence combiner's one-sided cumulative sum, updated each window:</w:t>
      </w:r>
    </w:p>
    <w:p>
      <w:r>
        <w:t>S_t = max(0, S_{t-1} + E_t - k)</w:t>
      </w:r>
    </w:p>
    <w:p>
      <w:r>
        <w:t>where E_t is the window's evidence (already scaled so that 1.0 sits at the edge of what the null calibration considers normal) and k is a slack constant. An alarm fires the first window S_t exceeds a height h; after an alarm, S_t resets to 0 and alarms are suppressed for a short cooldown (PRD 6.5). This is the same recursive idea behind Page's original cumulative sum control chart (Page, 1954, PRD literature seed list item 10): accumulate small persistent deviations, ignore isolated noise, alarm once the accumulated evidence crosses a fixed height.</w:t>
      </w:r>
    </w:p>
    <w:p>
      <w:r>
        <w:t>Average precision (AP). The area under the precision-recall curve for one window's hidden labels and predicted scores, computed with scikit-learn's `average_precision_score`. Used instead of accuracy or ROC-AUC because fraud is rare: AP is sensitive to how well the model ranks the rare positive class, which is what matters operationally, rather than being dominated by the easy majority class the way raw accuracy would be.</w:t>
      </w:r>
    </w:p>
    <w:p>
      <w:r>
        <w:t>Recall at the alert budget. If the alert budget is b (2 percent by default, matching the base fraud rate), and a window has n transactions, recall at budget is the share of true frauds among the top round(b * n) transactions by predicted score. This is the metric that most directly answers the operational question: given that an analyst team can only review a fixed share of transactions, how many of the actual frauds get caught.</w:t>
      </w:r>
    </w:p>
    <w:p>
      <w:r>
        <w:t>Detection delay. For a true event at window t_onset and the first alarm at window t_alarm after it, detection delay is t_alarm - t_onset, measured separately for the label-free alarm and the backstop alarm so the two channels can be compared directly (this is the basis of H1).</w:t>
      </w:r>
    </w:p>
    <w:p w14:paraId="1614ED7A" w14:textId="7A2B473C" w:rsidR="00745F82" w:rsidRPr="00EA02AA" w:rsidRDefault="00745F82" w:rsidP="00745F82">
      <w:pPr>
        <w:pStyle w:val="Heading2"/>
        <w:numPr>
          <w:ilvl w:val="0"/>
          <w:numId w:val="0"/>
        </w:numPr>
        <w:rPr>
          <w:rFonts w:ascii="Times New Roman" w:hAnsi="Times New Roman"/>
        </w:rPr>
      </w:pPr>
      <w:r>
        <w:rPr>
          <w:rFonts w:ascii="Times New Roman" w:hAnsi="Times New Roman"/>
        </w:rPr>
        <w:t>3.3 Models</w:t>
      </w:r>
      <w:r>
        <w:rPr>
          <w:rFonts w:ascii="Times New Roman" w:hAnsi="Times New Roman"/>
        </w:rPr>
      </w:r>
      <w:r>
        <w:rPr>
          <w:rFonts w:ascii="Times New Roman" w:hAnsi="Times New Roman"/>
        </w:rPr>
      </w:r>
      <w:r>
        <w:rPr>
          <w:rFonts w:ascii="Times New Roman" w:hAnsi="Times New Roman"/>
        </w:rPr>
      </w:r>
      <w:r>
        <w:rPr>
          <w:rFonts w:ascii="Times New Roman" w:hAnsi="Times New Roman"/>
        </w:rPr>
      </w:r>
    </w:p>
    <w:p w14:paraId="3BE70DD4" w14:textId="2238196C" w:rsidR="00745F82" w:rsidRDefault="00745F82" w:rsidP="00745F82">
      <w:r/>
      <w:r/>
      <w:r/>
      <w:r/>
    </w:p>
    <w:p>
      <w:r>
        <w:t>The classifier. `sklearn.ensemble.HistGradientBoostingClassifier`, scikit-learn's histogram- based gradient boosting implementation, used unweighted (see Section 1.4's note on the `class_weight="balanced"` performance issue) with a capped iteration count of 60. The same configuration is used by every strategy (PRD 6.7): strategies differ only in when they retrain, never in what gets trained.</w:t>
      </w:r>
    </w:p>
    <w:p>
      <w:r>
        <w:t>The monitors. Four components, described in Section 1.5 and Section 3.2's equations: the input drift monitor (per-feature PSI and KS), the score drift monitor (log-odds PSI, alert-rate ratio, mean entropy), the calibrator (turns each raw statistic into a common evidence scale via a bootstrap null), and the evidence combiner (the CUSUM recursion above, run on the maximum of the input and score evidence for the full framework, or on a single signal for the M1a/M1b ablation).</w:t>
      </w:r>
    </w:p>
    <w:p>
      <w:r>
        <w:t>The decision rule. A label-free alarm marks a retrain as pending at alarm time + D + m, never earlier; if a second alarm fires while one is already pending, the earlier pending retrain is kept unchanged. A backstop alarm, once labels show a confirmed recall drop, retrains immediately and takes over any pending label-free retrain (PRD 6.6).</w:t>
      </w:r>
    </w:p>
    <w:p>
      <w:r>
        <w:t>The analytical model. Five derived quantities (A1 detection delay, A2 false alarm rate, A3 exposure, A4 retrain count, A5 compute cost), stated in full in `docs/analytical_model.md`, each with its assumptions. Section 14.1 of the report compares these predictions against what the main run measured.</w:t>
      </w:r>
    </w:p>
    <w:p w14:paraId="1C9BA27D" w14:textId="77777777" w:rsidR="00745F82" w:rsidRDefault="00745F82" w:rsidP="00745F82"/>
    <w:p w14:paraId="1C8D6FC7" w14:textId="77777777" w:rsidR="00745F82" w:rsidRDefault="00745F82" w:rsidP="0072219A">
      <w:pPr>
        <w:rPr>
          <w:lang w:val="en-GB"/>
        </w:rPr>
      </w:pPr>
    </w:p>
    <w:p w14:paraId="58E83456" w14:textId="3716D70C" w:rsidR="00657968" w:rsidRDefault="00657968" w:rsidP="0072219A">
      <w:pPr>
        <w:rPr>
          <w:iCs/>
        </w:rPr>
      </w:pPr>
    </w:p>
    <w:p w14:paraId="0244BE21" w14:textId="77777777" w:rsidR="00657968" w:rsidRDefault="00657968">
      <w:pPr>
        <w:spacing w:before="0" w:after="0"/>
        <w:jc w:val="left"/>
        <w:rPr>
          <w:iCs/>
        </w:rPr>
      </w:pPr>
      <w:r>
        <w:rPr>
          <w:iCs/>
        </w:rPr>
        <w:br w:type="page"/>
      </w:r>
    </w:p>
    <w:p w14:paraId="23FD1914" w14:textId="1A12BF51" w:rsidR="0016455C" w:rsidRDefault="00F91998" w:rsidP="00657968">
      <w:pPr>
        <w:pStyle w:val="Heading1"/>
        <w:numPr>
          <w:ilvl w:val="0"/>
          <w:numId w:val="0"/>
        </w:numPr>
        <w:ind w:left="357"/>
        <w:jc w:val="center"/>
        <w:rPr>
          <w:rFonts w:ascii="Times New Roman" w:hAnsi="Times New Roman"/>
        </w:rPr>
      </w:pPr>
      <w:bookmarkStart w:id="15" w:name="_Toc118543911"/>
      <w:r>
        <w:rPr>
          <w:rFonts w:ascii="Times New Roman" w:hAnsi="Times New Roman"/>
        </w:rPr>
        <w:lastRenderedPageBreak/>
        <w:t>4</w:t>
      </w:r>
      <w:r w:rsidR="0016455C">
        <w:rPr>
          <w:rFonts w:ascii="Times New Roman" w:hAnsi="Times New Roman"/>
        </w:rPr>
        <w:t xml:space="preserve">. </w:t>
      </w:r>
      <w:r w:rsidR="00745F82">
        <w:rPr>
          <w:rFonts w:ascii="Times New Roman" w:hAnsi="Times New Roman"/>
        </w:rPr>
        <w:t>Feasibility Calculation Sheet</w:t>
      </w:r>
      <w:bookmarkEnd w:id="15"/>
    </w:p>
    <w:p w14:paraId="0D367EFE" w14:textId="537B03FF" w:rsidR="0016455C" w:rsidRDefault="00745F82">
      <w:pPr>
        <w:spacing w:before="0" w:after="0"/>
        <w:jc w:val="left"/>
      </w:pPr>
      <w:r/>
      <w:r w:rsidR="00671B9C"/>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929"/>
        <w:gridCol w:w="2929"/>
        <w:gridCol w:w="2929"/>
      </w:tblGrid>
      <w:tr>
        <w:tc>
          <w:tcPr>
            <w:tcW w:type="dxa" w:w="2929"/>
          </w:tcPr>
          <w:p>
            <w:r>
              <w:rPr>
                <w:b/>
              </w:rPr>
              <w:t>Dimension</w:t>
            </w:r>
          </w:p>
        </w:tc>
        <w:tc>
          <w:tcPr>
            <w:tcW w:type="dxa" w:w="2929"/>
          </w:tcPr>
          <w:p>
            <w:r>
              <w:rPr>
                <w:b/>
              </w:rPr>
              <w:t>Rating</w:t>
            </w:r>
          </w:p>
        </w:tc>
        <w:tc>
          <w:tcPr>
            <w:tcW w:type="dxa" w:w="2929"/>
          </w:tcPr>
          <w:p>
            <w:r>
              <w:rPr>
                <w:b/>
              </w:rPr>
              <w:t>Evidence</w:t>
            </w:r>
          </w:p>
        </w:tc>
      </w:tr>
      <w:tr>
        <w:tc>
          <w:tcPr>
            <w:tcW w:type="dxa" w:w="2929"/>
          </w:tcPr>
          <w:p>
            <w:r>
              <w:t>Technical</w:t>
            </w:r>
          </w:p>
        </w:tc>
        <w:tc>
          <w:tcPr>
            <w:tcW w:type="dxa" w:w="2929"/>
          </w:tcPr>
          <w:p>
            <w:r>
              <w:t>High</w:t>
            </w:r>
          </w:p>
        </w:tc>
        <w:tc>
          <w:tcPr>
            <w:tcW w:type="dxa" w:w="2929"/>
          </w:tcPr>
          <w:p>
            <w:r>
              <w:t>Every component (generator, injector, label vault, monitors, backstop, retrainer, policies) is implemented, unit tested (38 tests, `pytest -q`), and runs end to end; the leakage guard is enforced, not just assumed</w:t>
            </w:r>
          </w:p>
        </w:tc>
      </w:tr>
      <w:tr>
        <w:tc>
          <w:tcPr>
            <w:tcW w:type="dxa" w:w="2929"/>
          </w:tcPr>
          <w:p>
            <w:r>
              <w:t>Data</w:t>
            </w:r>
          </w:p>
        </w:tc>
        <w:tc>
          <w:tcPr>
            <w:tcW w:type="dxa" w:w="2929"/>
          </w:tcPr>
          <w:p>
            <w:r>
              <w:t>High for the synthetic study, medium for real transfer</w:t>
            </w:r>
          </w:p>
        </w:tc>
        <w:tc>
          <w:tcPr>
            <w:tcW w:type="dxa" w:w="2929"/>
          </w:tcPr>
          <w:p>
            <w:r>
              <w:t>The generator meets its own acceptance criteria (PRD 5.3: stable-period AP in [0.60, 0.85], controlled AP degradation by severity, S4 marginals near-null, S6 seasonality visible but low-impact); the P1 real-data check (Kaggle) is the one place real transaction data enters, and it is detection-only by design (Section 5.4's own limitation)</w:t>
            </w:r>
          </w:p>
        </w:tc>
      </w:tr>
      <w:tr>
        <w:tc>
          <w:tcPr>
            <w:tcW w:type="dxa" w:w="2929"/>
          </w:tcPr>
          <w:p>
            <w:r>
              <w:t>Computational</w:t>
            </w:r>
          </w:p>
        </w:tc>
        <w:tc>
          <w:tcPr>
            <w:tcW w:type="dxa" w:w="2929"/>
          </w:tcPr>
          <w:p>
            <w:r>
              <w:t>High at the simulation's scale, needs care at production scale</w:t>
            </w:r>
          </w:p>
        </w:tc>
        <w:tc>
          <w:tcPr>
            <w:tcW w:type="dxa" w:w="2929"/>
          </w:tcPr>
          <w:p>
            <w:r>
              <w:t>See the worked cost calculation below; monitor time per window of 2000 transactions is about 5.6 ms (profiling, well under the 100 ms target, PR6), a retrain needing a monitor reference costs about 15.5 seconds, one that does not (B1, B2) costs about 2.8 seconds</w:t>
            </w:r>
          </w:p>
        </w:tc>
      </w:tr>
      <w:tr>
        <w:tc>
          <w:tcPr>
            <w:tcW w:type="dxa" w:w="2929"/>
          </w:tcPr>
          <w:p>
            <w:r>
              <w:t>Operational</w:t>
            </w:r>
          </w:p>
        </w:tc>
        <w:tc>
          <w:tcPr>
            <w:tcW w:type="dxa" w:w="2929"/>
          </w:tcPr>
          <w:p>
            <w:r>
              <w:t>Medium</w:t>
            </w:r>
          </w:p>
        </w:tc>
        <w:tc>
          <w:tcPr>
            <w:tcW w:type="dxa" w:w="2929"/>
          </w:tcPr>
          <w:p>
            <w:r>
              <w:t>The decision log (every alarm, its reason, the signal values) gives an audit trail a real team could review; what is not tested here is integration with a live scoring pipeline, alerting channels, or human review workflow</w:t>
            </w:r>
          </w:p>
        </w:tc>
      </w:tr>
      <w:tr>
        <w:tc>
          <w:tcPr>
            <w:tcW w:type="dxa" w:w="2929"/>
          </w:tcPr>
          <w:p>
            <w:r>
              <w:t>Economic</w:t>
            </w:r>
          </w:p>
        </w:tc>
        <w:tc>
          <w:tcPr>
            <w:tcW w:type="dxa" w:w="2929"/>
          </w:tcPr>
          <w:p>
            <w:r>
              <w:t>High relative to a fixed schedule, conditional on the drift rate assumed</w:t>
            </w:r>
          </w:p>
        </w:tc>
        <w:tc>
          <w:tcPr>
            <w:tcW w:type="dxa" w:w="2929"/>
          </w:tcPr>
          <w:p>
            <w:r>
              <w:t>The worked calculation below compares annual retrain cost under a fixed schedule against the framework; the saving scales with how much of the fixed schedule's retraining turns out to be unnecessary, which is scenario-dependent (see the retrain-count results, Section 13)</w:t>
            </w:r>
          </w:p>
        </w:tc>
      </w:tr>
    </w:tbl>
    <w:p>
      <w:r>
        <w:rPr>
          <w:b/>
        </w:rPr>
        <w:t>Worked cost calculation</w:t>
      </w:r>
    </w:p>
    <w:p>
      <w:r>
        <w:t>Measured constants (profiling, `telltale.cli profile`, `results/profiling.json`):</w:t>
      </w:r>
    </w:p>
    <w:p>
      <w:pPr>
        <w:pStyle w:val="BulletedList"/>
      </w:pPr>
      <w:r>
        <w:t>Seconds per retrain needing a monitor reference (M0, M1, M1a, M1b, B3): about 15.5 seconds (6 model fits: 1 deployed model plus a 5-fold out-of-fold ensemble for the reference, PRD 6.6).</w:t>
      </w:r>
    </w:p>
    <w:p>
      <w:pPr>
        <w:pStyle w:val="BulletedList"/>
      </w:pPr>
      <w:r>
        <w:t>Seconds per retrain not needing one (B1, B2): about 2.8 seconds (1 model fit only).</w:t>
      </w:r>
    </w:p>
    <w:p>
      <w:pPr>
        <w:pStyle w:val="BulletedList"/>
      </w:pPr>
      <w:r>
        <w:t>Monitor time per window of 2000 transactions: about 5.6 ms.</w:t>
      </w:r>
    </w:p>
    <w:p>
      <w:r>
        <w:t>Annual retrain cost, one window representing one day (PRD 5.1):</w:t>
      </w:r>
    </w:p>
    <w:p>
      <w:r>
        <w:t>annual compute seconds = retrains per year x seconds per retrain + 365 x seconds per monitored window (if the strategy monitors)</w:t>
      </w:r>
    </w:p>
    <w:p>
      <w:r>
        <w:t>Fixed schedule (B1, K=20): 365 / 20 is about 18 retrains per year, each about 2.8 seconds (no monitor reference needed), for about 51 seconds of retrain compute per year, plus zero monitor compute. The framework's annual retrain count and recall-at-budget, and therefore its own annual compute and the actual relative saving, come from `results/summary.json` once the main run completes; the retrain-count side of this comparison is filled in here after Section 13's results are available (it is PR4/H3: at most 60 percent of B1's retrains for comparable recall).</w:t>
      </w:r>
    </w:p>
    <w:p>
      <w:r>
        <w:rPr>
          <w:b/>
        </w:rPr>
        <w:t>Scale to a bank-sized volume</w:t>
      </w:r>
    </w:p>
    <w:p>
      <w:r>
        <w:t>Assumption: a mid-size issuer processing on the order of 10 million transactions per day, against this simulation's 2000 transactions per window. Monitor time scales roughly linearly with window size once binning and reference comparisons dominate (profiling: 5.6 ms at 2000 rows, about 313 ms at 200,000 rows, about 1.5 seconds at 1,000,000 rows), so monitoring 10 million transactions in one window would be on the order of 15 seconds if run as a single batch window, which is why a real deployment would shard by time or by a feature-store-backed streaming aggregation rather than scoring one undivided daily batch; see Section 14.5's scale-up note for the full discussion.</w:t>
      </w:r>
    </w:p>
    <w:p w14:paraId="25FCB6EA" w14:textId="77777777" w:rsidR="00745F82" w:rsidRDefault="00745F82">
      <w:pPr>
        <w:spacing w:before="0" w:after="0"/>
        <w:jc w:val="left"/>
      </w:pPr>
    </w:p>
    <w:p w14:paraId="2FF5D057" w14:textId="77777777" w:rsidR="00745F82" w:rsidRDefault="00745F82">
      <w:pPr>
        <w:spacing w:before="0" w:after="0"/>
        <w:jc w:val="left"/>
      </w:pPr>
    </w:p>
    <w:p w14:paraId="6172B9AC" w14:textId="77777777" w:rsidR="00745F82" w:rsidRDefault="00745F82">
      <w:pPr>
        <w:spacing w:before="0" w:after="0"/>
        <w:jc w:val="left"/>
      </w:pPr>
    </w:p>
    <w:p w14:paraId="55539C7C" w14:textId="77777777" w:rsidR="00745F82" w:rsidRDefault="00745F82">
      <w:pPr>
        <w:spacing w:before="0" w:after="0"/>
        <w:jc w:val="left"/>
      </w:pPr>
    </w:p>
    <w:p w14:paraId="03A71771" w14:textId="77777777" w:rsidR="00745F82" w:rsidRDefault="00745F82">
      <w:pPr>
        <w:spacing w:before="0" w:after="0"/>
        <w:jc w:val="left"/>
      </w:pPr>
    </w:p>
    <w:p w14:paraId="3C3B0E16" w14:textId="77777777" w:rsidR="00745F82" w:rsidRDefault="00745F82">
      <w:pPr>
        <w:spacing w:before="0" w:after="0"/>
        <w:jc w:val="left"/>
      </w:pPr>
    </w:p>
    <w:p w14:paraId="2AD4B0B5" w14:textId="1C1E7C5D" w:rsidR="00745F82" w:rsidRDefault="00745F82" w:rsidP="00745F82">
      <w:pPr>
        <w:pStyle w:val="Heading1"/>
        <w:numPr>
          <w:ilvl w:val="0"/>
          <w:numId w:val="0"/>
        </w:numPr>
        <w:ind w:left="357"/>
        <w:jc w:val="center"/>
        <w:rPr>
          <w:rFonts w:ascii="Times New Roman" w:hAnsi="Times New Roman"/>
        </w:rPr>
      </w:pPr>
      <w:r>
        <w:rPr>
          <w:rFonts w:ascii="Times New Roman" w:hAnsi="Times New Roman"/>
        </w:rPr>
        <w:lastRenderedPageBreak/>
        <w:t>5</w:t>
      </w:r>
      <w:r>
        <w:rPr>
          <w:rFonts w:ascii="Times New Roman" w:hAnsi="Times New Roman"/>
        </w:rPr>
        <w:t xml:space="preserve">. </w:t>
      </w:r>
      <w:r w:rsidR="000504D6">
        <w:rPr>
          <w:rFonts w:ascii="Times New Roman" w:hAnsi="Times New Roman"/>
        </w:rPr>
        <w:t>Problem Statement and Objectives</w:t>
      </w:r>
    </w:p>
    <w:p w14:paraId="3C8BE40C" w14:textId="37DD1974" w:rsidR="00745F82" w:rsidRDefault="000504D6" w:rsidP="00745F82">
      <w:pPr>
        <w:spacing w:before="0" w:after="0"/>
        <w:jc w:val="left"/>
      </w:pPr>
      <w:r/>
    </w:p>
    <w:p w14:paraId="3826442B" w14:textId="5EEFB5A5" w:rsidR="000504D6" w:rsidRPr="009E0907" w:rsidRDefault="000504D6" w:rsidP="00745F82">
      <w:pPr>
        <w:spacing w:before="0" w:after="0"/>
        <w:jc w:val="left"/>
        <w:rPr>
          <w:b/>
          <w:bCs/>
          <w:sz w:val="36"/>
          <w:szCs w:val="36"/>
        </w:rPr>
      </w:pPr>
      <w:r w:rsidRPr="009E0907">
        <w:rPr>
          <w:b/>
          <w:bCs/>
          <w:sz w:val="36"/>
          <w:szCs w:val="36"/>
        </w:rPr>
        <w:t>5.1 Problem statement</w:t>
      </w:r>
    </w:p>
    <w:p>
      <w:r>
        <w:t>A deployed fraud classifier degrades as fraud patterns and customer behaviour shift, but the true labels needed to measure that degradation directly (confirmed fraud or not) are delayed, often by days to weeks, through disputes and chargebacks. Teams are left choosing between retraining on a fixed calendar, which wastes compute and still misses sudden shifts that happen between scheduled retrains, or waiting for labelled complaints to arrive, by which point the model has already been wrong for a long time. There is no standard way to get an early, label-free signal that a model needs attention while still respecting that a safe retrain needs real, matured labels, not a guess.</w:t>
      </w:r>
    </w:p>
    <w:p w14:paraId="2F11F4F9" w14:textId="2D1855D5" w:rsidR="000504D6" w:rsidRPr="009E0907" w:rsidRDefault="000504D6" w:rsidP="00745F82">
      <w:pPr>
        <w:spacing w:before="0" w:after="0"/>
        <w:jc w:val="left"/>
        <w:rPr>
          <w:b/>
          <w:bCs/>
          <w:kern w:val="32"/>
          <w:sz w:val="36"/>
          <w:szCs w:val="36"/>
          <w:lang w:val="en-GB"/>
        </w:rPr>
      </w:pPr>
      <w:r w:rsidRPr="009E0907">
        <w:rPr>
          <w:b/>
          <w:bCs/>
          <w:sz w:val="36"/>
          <w:szCs w:val="36"/>
        </w:rPr>
        <w:t>5.2 Objectives</w:t>
      </w:r>
    </w:p>
    <w:p>
      <w:r>
        <w:t>Each objective is stated as something measurable and is tied to one of the project's five hypotheses (PRD Section 2.3, repeated here for reference).</w:t>
      </w:r>
    </w:p>
    <w:p>
      <w:pPr>
        <w:pStyle w:val="BulletedList"/>
      </w:pPr>
      <w:r>
        <w:t>Detect covariate drift from input features and model scores alone, with no label, substantially faster than a backstop that must wait for labels to mature (H1: label-free median detection lead time of at least D/2 windows over the label-only backstop, on scenarios S1, S2, S3).</w:t>
      </w:r>
    </w:p>
    <w:p>
      <w:pPr>
        <w:pStyle w:val="BulletedList"/>
      </w:pPr>
      <w:r>
        <w:t>Show that combining the input-drift and score-drift signals gives a better detection-delay against false-alarm trade-off than either signal alone (H2, the M1a/M1b ablation).</w:t>
      </w:r>
    </w:p>
    <w:p>
      <w:pPr>
        <w:pStyle w:val="BulletedList"/>
      </w:pPr>
      <w:r>
        <w:t>Reduce the number of retrains needed relative to a fixed retraining schedule, without giving up time-averaged recall (H3: at most 60 percent of the fixed schedule's retrains, time-averaged recall within 3 percent relative of it).</w:t>
      </w:r>
    </w:p>
    <w:p>
      <w:pPr>
        <w:pStyle w:val="BulletedList"/>
      </w:pPr>
      <w:r>
        <w:t>Characterise honestly where label-free monitoring fails: on pure concept drift, where the input distribution does not move (H4, scenario S4), and confirm the delayed-label backstop still catches it, just later.</w:t>
      </w:r>
    </w:p>
    <w:p>
      <w:pPr>
        <w:pStyle w:val="BulletedList"/>
      </w:pPr>
      <w:r>
        <w:t>Keep false alarms rare enough to be usable in practice, including under benign, non-drift seasonal variation that a careless detector could mistake for drift (H5: at most 1 false alarm per 100 windows on S0 and S6).</w:t>
      </w:r>
    </w:p>
    <w:p w14:paraId="5DB88776" w14:textId="287A54ED" w:rsidR="00745F82" w:rsidRDefault="009E0907" w:rsidP="00745F82">
      <w:pPr>
        <w:pStyle w:val="Heading1"/>
        <w:numPr>
          <w:ilvl w:val="0"/>
          <w:numId w:val="0"/>
        </w:numPr>
        <w:ind w:left="357"/>
        <w:jc w:val="center"/>
        <w:rPr>
          <w:rFonts w:ascii="Times New Roman" w:hAnsi="Times New Roman"/>
        </w:rPr>
      </w:pPr>
      <w:r>
        <w:rPr>
          <w:rFonts w:ascii="Times New Roman" w:hAnsi="Times New Roman"/>
        </w:rPr>
        <w:lastRenderedPageBreak/>
        <w:t>6</w:t>
      </w:r>
      <w:r w:rsidR="00745F82">
        <w:rPr>
          <w:rFonts w:ascii="Times New Roman" w:hAnsi="Times New Roman"/>
        </w:rPr>
        <w:t xml:space="preserve">. </w:t>
      </w:r>
      <w:r>
        <w:rPr>
          <w:rFonts w:ascii="Times New Roman" w:hAnsi="Times New Roman"/>
        </w:rPr>
        <w:t>Use Case and Stakeholder Definition</w:t>
      </w:r>
    </w:p>
    <w:p w14:paraId="7818D0DA" w14:textId="77777777" w:rsidR="009E0907" w:rsidRPr="009E0907" w:rsidRDefault="009E0907" w:rsidP="00745F82">
      <w:pPr>
        <w:spacing w:before="0" w:after="0"/>
        <w:jc w:val="left"/>
        <w:rPr>
          <w:b/>
          <w:bCs/>
          <w:sz w:val="36"/>
          <w:szCs w:val="36"/>
        </w:rPr>
      </w:pPr>
      <w:r w:rsidRPr="009E0907">
        <w:rPr>
          <w:b/>
          <w:bCs/>
          <w:sz w:val="36"/>
          <w:szCs w:val="36"/>
        </w:rPr>
        <w:t>6.1 Use cases</w:t>
      </w:r>
    </w:p>
    <w:p w14:paraId="470F96E2" w14:textId="187C1E40" w:rsidR="009E0907" w:rsidRDefault="009E0907" w:rsidP="00745F82">
      <w:pPr>
        <w:spacing w:before="0" w:after="0"/>
        <w:jc w:val="left"/>
      </w:pPr>
      <w:r/>
    </w:p>
    <w:p>
      <w:r>
        <w:t>UC1: Detect silent degradation while labels are still delayed. A fraud analytics team runs a classifier in production. telltale watches the live stream and raises an alarm when the input or score distributions move persistently away from the reference, without waiting for chargebacks to confirm anything, giving the team a head start on the days-to-weeks label delay.</w:t>
      </w:r>
    </w:p>
    <w:p>
      <w:r>
        <w:t>UC2: Reduce unnecessary retraining compared with a fixed calendar. An ML platform team currently retrains every model on a fixed schedule (say, monthly) regardless of whether anything has changed, burning compute and engineering time. telltale only triggers a retrain when there is actual evidence of drift (label-free alarm, deferred until labels mature) or a confirmed recall drop (backstop), cutting unnecessary retrains while keeping performance close to the fixed schedule's.</w:t>
      </w:r>
    </w:p>
    <w:p>
      <w:r>
        <w:t>UC3: Explain which features drove an alarm. When the input monitor flags a window, it keeps track of which features had the largest population stability index contribution (PRD Section 6.3), so an analyst investigating the alarm has a concrete starting point instead of a single opaque number.</w:t>
      </w:r>
    </w:p>
    <w:p>
      <w:r>
        <w:t>UC4: Tell real drift apart from regular seasonality. A naive monitor that just watches for any distribution shift would fire constantly on predictable patterns, like a weekly cycle in transaction amounts. Scenario S6 is built specifically to test this: telltale's null calibration is built from the reference period's own natural variability, including whatever regular seasonality is already present there, so the same pattern recurring later does not look anomalous.</w:t>
      </w:r>
    </w:p>
    <w:p>
      <w:r>
        <w:t>UC5: Audit trail of every monitoring decision for model governance. Every alarm, its reason (label-free or backstop), the signal values behind it, and every retrain's trigger and timing are logged per window (PRD Section 6.1 step 8), giving a governance or compliance reviewer a complete, reconstructable record of why and when the model changed.</w:t>
      </w:r>
    </w:p>
    <w:p w14:paraId="0B85D365" w14:textId="6CA13AC4" w:rsidR="009E0907" w:rsidRPr="009E0907" w:rsidRDefault="009E0907" w:rsidP="00745F82">
      <w:pPr>
        <w:spacing w:before="0" w:after="0"/>
        <w:jc w:val="left"/>
      </w:pPr>
      <w:r w:rsidRPr="009E0907">
        <w:rPr>
          <w:b/>
          <w:bCs/>
          <w:sz w:val="36"/>
          <w:szCs w:val="36"/>
        </w:rPr>
        <w:t>6.2 Stakeholders</w:t>
      </w:r>
      <w:r w:rsidRPr="009E0907"/>
    </w:p>
    <w:p w14:paraId="0B319150" w14:textId="42F18888" w:rsidR="00745F82" w:rsidRDefault="009E0907" w:rsidP="00745F82">
      <w:pPr>
        <w:spacing w:before="0" w:after="0"/>
        <w:jc w:val="left"/>
        <w:rPr>
          <w:b/>
          <w:bCs/>
          <w:kern w:val="32"/>
          <w:sz w:val="44"/>
          <w:szCs w:val="32"/>
          <w:lang w:val="en-GB"/>
        </w:rPr>
      </w:pPr>
      <w:r/>
      <w:r w:rsidR="00745F82"/>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929"/>
        <w:gridCol w:w="2929"/>
        <w:gridCol w:w="2929"/>
      </w:tblGrid>
      <w:tr>
        <w:tc>
          <w:tcPr>
            <w:tcW w:type="dxa" w:w="2929"/>
          </w:tcPr>
          <w:p>
            <w:r>
              <w:rPr>
                <w:b/>
              </w:rPr>
              <w:t>Stakeholder</w:t>
            </w:r>
          </w:p>
        </w:tc>
        <w:tc>
          <w:tcPr>
            <w:tcW w:type="dxa" w:w="2929"/>
          </w:tcPr>
          <w:p>
            <w:r>
              <w:rPr>
                <w:b/>
              </w:rPr>
              <w:t>What they need</w:t>
            </w:r>
          </w:p>
        </w:tc>
        <w:tc>
          <w:tcPr>
            <w:tcW w:type="dxa" w:w="2929"/>
          </w:tcPr>
          <w:p>
            <w:r>
              <w:rPr>
                <w:b/>
              </w:rPr>
              <w:t>How they use the system</w:t>
            </w:r>
          </w:p>
        </w:tc>
      </w:tr>
      <w:tr>
        <w:tc>
          <w:tcPr>
            <w:tcW w:type="dxa" w:w="2929"/>
          </w:tcPr>
          <w:p>
            <w:r>
              <w:t>Fraud analysts</w:t>
            </w:r>
          </w:p>
        </w:tc>
        <w:tc>
          <w:tcPr>
            <w:tcW w:type="dxa" w:w="2929"/>
          </w:tcPr>
          <w:p>
            <w:r>
              <w:t>Early warning with enough context to act, without being buried in noise</w:t>
            </w:r>
          </w:p>
        </w:tc>
        <w:tc>
          <w:tcPr>
            <w:tcW w:type="dxa" w:w="2929"/>
          </w:tcPr>
          <w:p>
            <w:r>
              <w:t>Receive alarms with the implicated features (UC3); investigate flagged windows; tune their own trust in the system based on its calibrated false-alarm rate (UC4) rather than treating every alarm as equally urgent</w:t>
            </w:r>
          </w:p>
        </w:tc>
      </w:tr>
      <w:tr>
        <w:tc>
          <w:tcPr>
            <w:tcW w:type="dxa" w:w="2929"/>
          </w:tcPr>
          <w:p>
            <w:r>
              <w:t>ML platform / operations engineers</w:t>
            </w:r>
          </w:p>
        </w:tc>
        <w:tc>
          <w:tcPr>
            <w:tcW w:type="dxa" w:w="2929"/>
          </w:tcPr>
          <w:p>
            <w:r>
              <w:t>Lower retraining cost, predictable compute budget</w:t>
            </w:r>
          </w:p>
        </w:tc>
        <w:tc>
          <w:tcPr>
            <w:tcW w:type="dxa" w:w="2929"/>
          </w:tcPr>
          <w:p>
            <w:r>
              <w:t>Own the retrain pipeline the policy triggers (PRD Section 6.6); use the measured seconds-per-retrain and retrain-count numbers (Section 9, Section 4) to budget compute, compare telltale's retrain count against the fixed-schedule baseline (UC2)</w:t>
            </w:r>
          </w:p>
        </w:tc>
      </w:tr>
      <w:tr>
        <w:tc>
          <w:tcPr>
            <w:tcW w:type="dxa" w:w="2929"/>
          </w:tcPr>
          <w:p>
            <w:r>
              <w:t>Data scientists</w:t>
            </w:r>
          </w:p>
        </w:tc>
        <w:tc>
          <w:tcPr>
            <w:tcW w:type="dxa" w:w="2929"/>
          </w:tcPr>
          <w:p>
            <w:r>
              <w:t>Confidence the deployed model is still the right one, without manually re-checking it</w:t>
            </w:r>
          </w:p>
        </w:tc>
        <w:tc>
          <w:tcPr>
            <w:tcW w:type="dxa" w:w="2929"/>
          </w:tcPr>
          <w:p>
            <w:r>
              <w:t>Treat a telltale alarm as the trigger to look at the model again instead of relying on a calendar; use the ablation results (input-only vs score-only vs combined) to understand which signal is actually doing the work</w:t>
            </w:r>
          </w:p>
        </w:tc>
      </w:tr>
      <w:tr>
        <w:tc>
          <w:tcPr>
            <w:tcW w:type="dxa" w:w="2929"/>
          </w:tcPr>
          <w:p>
            <w:r>
              <w:t>Risk, compliance, model governance teams</w:t>
            </w:r>
          </w:p>
        </w:tc>
        <w:tc>
          <w:tcPr>
            <w:tcW w:type="dxa" w:w="2929"/>
          </w:tcPr>
          <w:p>
            <w:r>
              <w:t>Documented thresholds and a complete audit log of every automated decision</w:t>
            </w:r>
          </w:p>
        </w:tc>
        <w:tc>
          <w:tcPr>
            <w:tcW w:type="dxa" w:w="2929"/>
          </w:tcPr>
          <w:p>
            <w:r>
              <w:t>Review the decision log (UC5) for every alarm and retrain, including the calibration method and the tuned parameters logged in `docs/decisions.md`, to confirm the system behaves as documented</w:t>
            </w:r>
          </w:p>
        </w:tc>
      </w:tr>
      <w:tr>
        <w:tc>
          <w:tcPr>
            <w:tcW w:type="dxa" w:w="2929"/>
          </w:tcPr>
          <w:p>
            <w:r>
              <w:t>Business and product owners</w:t>
            </w:r>
          </w:p>
        </w:tc>
        <w:tc>
          <w:tcPr>
            <w:tcW w:type="dxa" w:w="2929"/>
          </w:tcPr>
          <w:p>
            <w:r>
              <w:t>Fewer missed frauds, fewer false declines, predictable operating cost</w:t>
            </w:r>
          </w:p>
        </w:tc>
        <w:tc>
          <w:tcPr>
            <w:tcW w:type="dxa" w:w="2929"/>
          </w:tcPr>
          <w:p>
            <w:r>
              <w:t>See the gap-closed metric (PRD Section 8) against the fixed schedule and the oracle upper bound, translated into the feasibility sheet's cost comparison (Section 4)</w:t>
            </w:r>
          </w:p>
        </w:tc>
      </w:tr>
      <w:tr>
        <w:tc>
          <w:tcPr>
            <w:tcW w:type="dxa" w:w="2929"/>
          </w:tcPr>
          <w:p>
            <w:r>
              <w:t>Cardholders and merchants</w:t>
            </w:r>
          </w:p>
        </w:tc>
        <w:tc>
          <w:tcPr>
            <w:tcW w:type="dxa" w:w="2929"/>
          </w:tcPr>
          <w:p>
            <w:r>
              <w:t>Correct decisions: real fraud caught, legitimate transactions not declined</w:t>
            </w:r>
          </w:p>
        </w:tc>
        <w:tc>
          <w:tcPr>
            <w:tcW w:type="dxa" w:w="2929"/>
          </w:tcPr>
          <w:p>
            <w:r>
              <w:t>Not direct users of the system, but the ultimate reason recall at a fixed alert budget (not raw accuracy) is the headline metric: it is a proxy for how many frauds get caught without flooding legitimate customers with false declines</w:t>
            </w:r>
          </w:p>
        </w:tc>
      </w:tr>
    </w:tbl>
    <w:p w14:paraId="07A05C91" w14:textId="1FF445F1" w:rsidR="00745F82" w:rsidRDefault="009E0907" w:rsidP="00745F82">
      <w:pPr>
        <w:pStyle w:val="Heading1"/>
        <w:numPr>
          <w:ilvl w:val="0"/>
          <w:numId w:val="0"/>
        </w:numPr>
        <w:ind w:left="357"/>
        <w:jc w:val="center"/>
        <w:rPr>
          <w:rFonts w:ascii="Times New Roman" w:hAnsi="Times New Roman"/>
        </w:rPr>
      </w:pPr>
      <w:r>
        <w:rPr>
          <w:rFonts w:ascii="Times New Roman" w:hAnsi="Times New Roman"/>
        </w:rPr>
        <w:lastRenderedPageBreak/>
        <w:t>7</w:t>
      </w:r>
      <w:r w:rsidR="00745F82">
        <w:rPr>
          <w:rFonts w:ascii="Times New Roman" w:hAnsi="Times New Roman"/>
        </w:rPr>
        <w:t>. F</w:t>
      </w:r>
      <w:r>
        <w:rPr>
          <w:rFonts w:ascii="Times New Roman" w:hAnsi="Times New Roman"/>
        </w:rPr>
        <w:t xml:space="preserve">unctional / Performance Requirement </w:t>
      </w:r>
      <w:r w:rsidR="00745F82">
        <w:rPr>
          <w:rFonts w:ascii="Times New Roman" w:hAnsi="Times New Roman"/>
        </w:rPr>
        <w:t>Sheet</w:t>
      </w:r>
    </w:p>
    <w:p>
      <w:r>
        <w:t>Targets below are starting points (PRD Section 14.2's seed list) with the reasoning for each. Whether the main run actually met them is judged in Section 14.3 of the report, from `results/summary.json`, not here.</w:t>
      </w:r>
    </w:p>
    <w:p>
      <w:r>
        <w:rPr>
          <w:b/>
        </w:rPr>
        <w:t>Functional requirements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929"/>
        <w:gridCol w:w="2929"/>
        <w:gridCol w:w="2929"/>
      </w:tblGrid>
      <w:tr>
        <w:tc>
          <w:tcPr>
            <w:tcW w:type="dxa" w:w="2929"/>
          </w:tcPr>
          <w:p>
            <w:r>
              <w:rPr>
                <w:b/>
              </w:rPr>
              <w:t>ID</w:t>
            </w:r>
          </w:p>
        </w:tc>
        <w:tc>
          <w:tcPr>
            <w:tcW w:type="dxa" w:w="2929"/>
          </w:tcPr>
          <w:p>
            <w:r>
              <w:rPr>
                <w:b/>
              </w:rPr>
              <w:t>Statement</w:t>
            </w:r>
          </w:p>
        </w:tc>
        <w:tc>
          <w:tcPr>
            <w:tcW w:type="dxa" w:w="2929"/>
          </w:tcPr>
          <w:p>
            <w:r>
              <w:rPr>
                <w:b/>
              </w:rPr>
              <w:t>Verification method</w:t>
            </w:r>
          </w:p>
        </w:tc>
      </w:tr>
      <w:tr>
        <w:tc>
          <w:tcPr>
            <w:tcW w:type="dxa" w:w="2929"/>
          </w:tcPr>
          <w:p>
            <w:r>
              <w:t>FR1</w:t>
            </w:r>
          </w:p>
        </w:tc>
        <w:tc>
          <w:tcPr>
            <w:tcW w:type="dxa" w:w="2929"/>
          </w:tcPr>
          <w:p>
            <w:r>
              <w:t>Compute input and score drift signals for each window using only that window's features and the model's own scores, never the label</w:t>
            </w:r>
          </w:p>
        </w:tc>
        <w:tc>
          <w:tcPr>
            <w:tcW w:type="dxa" w:w="2929"/>
          </w:tcPr>
          <w:p>
            <w:r>
              <w:t>Unit tests (`tests/test_null_calibration.py`) and the leakage guard (`tests/test_label_vault.py`); code review of `telltale/monitors/` confirms no monitor function takes `y` as an argument</w:t>
            </w:r>
          </w:p>
        </w:tc>
      </w:tr>
      <w:tr>
        <w:tc>
          <w:tcPr>
            <w:tcW w:type="dxa" w:w="2929"/>
          </w:tcPr>
          <w:p>
            <w:r>
              <w:t>FR2</w:t>
            </w:r>
          </w:p>
        </w:tc>
        <w:tc>
          <w:tcPr>
            <w:tcW w:type="dxa" w:w="2929"/>
          </w:tcPr>
          <w:p>
            <w:r>
              <w:t>An alarm names the signals and features responsible</w:t>
            </w:r>
          </w:p>
        </w:tc>
        <w:tc>
          <w:tcPr>
            <w:tcW w:type="dxa" w:w="2929"/>
          </w:tcPr>
          <w:p>
            <w:r>
              <w:t>`telltale/monitors/input_drift.py`'s `InputDriftResult.top_features`, logged per alarm window</w:t>
            </w:r>
          </w:p>
        </w:tc>
      </w:tr>
      <w:tr>
        <w:tc>
          <w:tcPr>
            <w:tcW w:type="dxa" w:w="2929"/>
          </w:tcPr>
          <w:p>
            <w:r>
              <w:t>FR3</w:t>
            </w:r>
          </w:p>
        </w:tc>
        <w:tc>
          <w:tcPr>
            <w:tcW w:type="dxa" w:w="2929"/>
          </w:tcPr>
          <w:p>
            <w:r>
              <w:t>Defer the retrain until enough post-alarm labels have matured</w:t>
            </w:r>
          </w:p>
        </w:tc>
        <w:tc>
          <w:tcPr>
            <w:tcW w:type="dxa" w:w="2929"/>
          </w:tcPr>
          <w:p>
            <w:r>
              <w:t>`tests/test_policy_timing.py`: a label-free alarm at window t schedules the retrain no earlier than t + D + m</w:t>
            </w:r>
          </w:p>
        </w:tc>
      </w:tr>
      <w:tr>
        <w:tc>
          <w:tcPr>
            <w:tcW w:type="dxa" w:w="2929"/>
          </w:tcPr>
          <w:p>
            <w:r>
              <w:t>FR4</w:t>
            </w:r>
          </w:p>
        </w:tc>
        <w:tc>
          <w:tcPr>
            <w:tcW w:type="dxa" w:w="2929"/>
          </w:tcPr>
          <w:p>
            <w:r>
              <w:t>Log every decision with its reason</w:t>
            </w:r>
          </w:p>
        </w:tc>
        <w:tc>
          <w:tcPr>
            <w:tcW w:type="dxa" w:w="2929"/>
          </w:tcPr>
          <w:p>
            <w:r>
              <w:t>`telltale/simulator.py`'s per-window record (`retrain_executed`, `retrain_source`, alarm flags, evidence values), aggregated by `telltale/experiments.py` into `results/retrains.csv` and `results/per_window_log.csv.gz`</w:t>
            </w:r>
          </w:p>
        </w:tc>
      </w:tr>
      <w:tr>
        <w:tc>
          <w:tcPr>
            <w:tcW w:type="dxa" w:w="2929"/>
          </w:tcPr>
          <w:p>
            <w:r>
              <w:t>FR5</w:t>
            </w:r>
          </w:p>
        </w:tc>
        <w:tc>
          <w:tcPr>
            <w:tcW w:type="dxa" w:w="2929"/>
          </w:tcPr>
          <w:p>
            <w:r>
              <w:t>Run every baseline and strategy under the same rules (same model class, retrain window, label vault, cooldown)</w:t>
            </w:r>
          </w:p>
        </w:tc>
        <w:tc>
          <w:tcPr>
            <w:tcW w:type="dxa" w:w="2929"/>
          </w:tcPr>
          <w:p>
            <w:r>
              <w:t>`telltale/policies.py`'s `StrategyConfig` and `telltale/simulator.py`'s single shared `simulate()` function; strategies differ only in their flags</w:t>
            </w:r>
          </w:p>
        </w:tc>
      </w:tr>
      <w:tr>
        <w:tc>
          <w:tcPr>
            <w:tcW w:type="dxa" w:w="2929"/>
          </w:tcPr>
          <w:p>
            <w:r>
              <w:t>FR6</w:t>
            </w:r>
          </w:p>
        </w:tc>
        <w:tc>
          <w:tcPr>
            <w:tcW w:type="dxa" w:w="2929"/>
          </w:tcPr>
          <w:p>
            <w:r>
              <w:t>Reproduce every result from one command and a seed</w:t>
            </w:r>
          </w:p>
        </w:tc>
        <w:tc>
          <w:tcPr>
            <w:tcW w:type="dxa" w:w="2929"/>
          </w:tcPr>
          <w:p>
            <w:r>
              <w:t>`tests/test_generator.py::test_reproducibility_same_seed_same_stream`; `python -m telltale.cli run --config configs/main.yaml` reruns the full grid deterministically from the seeds in the config</w:t>
            </w:r>
          </w:p>
        </w:tc>
      </w:tr>
    </w:tbl>
    <w:p>
      <w:r>
        <w:rPr>
          <w:b/>
        </w:rPr>
        <w:t>Performance requirements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58"/>
        <w:gridCol w:w="1758"/>
        <w:gridCol w:w="1758"/>
        <w:gridCol w:w="1758"/>
        <w:gridCol w:w="1758"/>
      </w:tblGrid>
      <w:tr>
        <w:tc>
          <w:tcPr>
            <w:tcW w:type="dxa" w:w="1758"/>
          </w:tcPr>
          <w:p>
            <w:r>
              <w:rPr>
                <w:b/>
              </w:rPr>
              <w:t>ID</w:t>
            </w:r>
          </w:p>
        </w:tc>
        <w:tc>
          <w:tcPr>
            <w:tcW w:type="dxa" w:w="1758"/>
          </w:tcPr>
          <w:p>
            <w:r>
              <w:rPr>
                <w:b/>
              </w:rPr>
              <w:t>Statement</w:t>
            </w:r>
          </w:p>
        </w:tc>
        <w:tc>
          <w:tcPr>
            <w:tcW w:type="dxa" w:w="1758"/>
          </w:tcPr>
          <w:p>
            <w:r>
              <w:rPr>
                <w:b/>
              </w:rPr>
              <w:t>Target</w:t>
            </w:r>
          </w:p>
        </w:tc>
        <w:tc>
          <w:tcPr>
            <w:tcW w:type="dxa" w:w="1758"/>
          </w:tcPr>
          <w:p>
            <w:r>
              <w:rPr>
                <w:b/>
              </w:rPr>
              <w:t>Reasoning</w:t>
            </w:r>
          </w:p>
        </w:tc>
        <w:tc>
          <w:tcPr>
            <w:tcW w:type="dxa" w:w="1758"/>
          </w:tcPr>
          <w:p>
            <w:r>
              <w:rPr>
                <w:b/>
              </w:rPr>
              <w:t>Verification method</w:t>
            </w:r>
          </w:p>
        </w:tc>
      </w:tr>
      <w:tr>
        <w:tc>
          <w:tcPr>
            <w:tcW w:type="dxa" w:w="1758"/>
          </w:tcPr>
          <w:p>
            <w:r>
              <w:t>PR1</w:t>
            </w:r>
          </w:p>
        </w:tc>
        <w:tc>
          <w:tcPr>
            <w:tcW w:type="dxa" w:w="1758"/>
          </w:tcPr>
          <w:p>
            <w:r>
              <w:t>Median label-free detection delay, moderate sudden covariate drift</w:t>
            </w:r>
          </w:p>
        </w:tc>
        <w:tc>
          <w:tcPr>
            <w:tcW w:type="dxa" w:w="1758"/>
          </w:tcPr>
          <w:p>
            <w:r>
              <w:t>At most 3 windows</w:t>
            </w:r>
          </w:p>
        </w:tc>
        <w:tc>
          <w:tcPr>
            <w:tcW w:type="dxa" w:w="1758"/>
          </w:tcPr>
          <w:p>
            <w:r>
              <w:t>Chosen so the label-free path meaningfully beats the D=7-window label delay the backstop is stuck with</w:t>
            </w:r>
          </w:p>
        </w:tc>
        <w:tc>
          <w:tcPr>
            <w:tcW w:type="dxa" w:w="1758"/>
          </w:tcPr>
          <w:p>
            <w:r>
              <w:t>`results/summary.json`'s `detection.S1\</w:t>
            </w:r>
          </w:p>
        </w:tc>
      </w:tr>
      <w:tr>
        <w:tc>
          <w:tcPr>
            <w:tcW w:type="dxa" w:w="1758"/>
          </w:tcPr>
          <w:p>
            <w:r>
              <w:t>PR2</w:t>
            </w:r>
          </w:p>
        </w:tc>
        <w:tc>
          <w:tcPr>
            <w:tcW w:type="dxa" w:w="1758"/>
          </w:tcPr>
          <w:p>
            <w:r>
              <w:t>Detection rate within 10 windows, moderate and severe covariate events</w:t>
            </w:r>
          </w:p>
        </w:tc>
        <w:tc>
          <w:tcPr>
            <w:tcW w:type="dxa" w:w="1758"/>
          </w:tcPr>
          <w:p>
            <w:r>
              <w:t>At least 90 percent</w:t>
            </w:r>
          </w:p>
        </w:tc>
        <w:tc>
          <w:tcPr>
            <w:tcW w:type="dxa" w:w="1758"/>
          </w:tcPr>
          <w:p>
            <w:r>
              <w:t>A monitor that only sometimes catches a clear covariate shift is not trustworthy enough to replace a fixed schedule</w:t>
            </w:r>
          </w:p>
        </w:tc>
        <w:tc>
          <w:tcPr>
            <w:tcW w:type="dxa" w:w="1758"/>
          </w:tcPr>
          <w:p>
            <w:r>
              <w:t>Fraction of (scenario, seed) runs where the first label-free alarm after onset is within 10 windows</w:t>
            </w:r>
          </w:p>
        </w:tc>
      </w:tr>
      <w:tr>
        <w:tc>
          <w:tcPr>
            <w:tcW w:type="dxa" w:w="1758"/>
          </w:tcPr>
          <w:p>
            <w:r>
              <w:t>PR3</w:t>
            </w:r>
          </w:p>
        </w:tc>
        <w:tc>
          <w:tcPr>
            <w:tcW w:type="dxa" w:w="1758"/>
          </w:tcPr>
          <w:p>
            <w:r>
              <w:t>False alarm rate, S0 and S6</w:t>
            </w:r>
          </w:p>
        </w:tc>
        <w:tc>
          <w:tcPr>
            <w:tcW w:type="dxa" w:w="1758"/>
          </w:tcPr>
          <w:p>
            <w:r>
              <w:t>At most 1 per 100 windows</w:t>
            </w:r>
          </w:p>
        </w:tc>
        <w:tc>
          <w:tcPr>
            <w:tcW w:type="dxa" w:w="1758"/>
          </w:tcPr>
          <w:p>
            <w:r>
              <w:t>PRD 6.5's calibration target; see `results/tuning.json` for the tuned CUSUM parameters and their measured rate on the tuning seeds</w:t>
            </w:r>
          </w:p>
        </w:tc>
        <w:tc>
          <w:tcPr>
            <w:tcW w:type="dxa" w:w="1758"/>
          </w:tcPr>
          <w:p>
            <w:r>
              <w:t>`results/summary.json`'s `false_alarms` block, evaluation seeds</w:t>
            </w:r>
          </w:p>
        </w:tc>
      </w:tr>
      <w:tr>
        <w:tc>
          <w:tcPr>
            <w:tcW w:type="dxa" w:w="1758"/>
          </w:tcPr>
          <w:p>
            <w:r>
              <w:t>PR4</w:t>
            </w:r>
          </w:p>
        </w:tc>
        <w:tc>
          <w:tcPr>
            <w:tcW w:type="dxa" w:w="1758"/>
          </w:tcPr>
          <w:p>
            <w:r>
              <w:t>Retrain count relative to the fixed schedule, averaged over scenarios</w:t>
            </w:r>
          </w:p>
        </w:tc>
        <w:tc>
          <w:tcPr>
            <w:tcW w:type="dxa" w:w="1758"/>
          </w:tcPr>
          <w:p>
            <w:r>
              <w:t>At most 60 percent</w:t>
            </w:r>
          </w:p>
        </w:tc>
        <w:tc>
          <w:tcPr>
            <w:tcW w:type="dxa" w:w="1758"/>
          </w:tcPr>
          <w:p>
            <w:r>
              <w:t>Direct restatement of H3: the point of label-free monitoring is fewer unnecessary retrains, not just different ones</w:t>
            </w:r>
          </w:p>
        </w:tc>
        <w:tc>
          <w:tcPr>
            <w:tcW w:type="dxa" w:w="1758"/>
          </w:tcPr>
          <w:p>
            <w:r>
              <w:t>Mean of `retrain_count_mean` across scenarios for M1 divided by the same for B1</w:t>
            </w:r>
          </w:p>
        </w:tc>
      </w:tr>
      <w:tr>
        <w:tc>
          <w:tcPr>
            <w:tcW w:type="dxa" w:w="1758"/>
          </w:tcPr>
          <w:p>
            <w:r>
              <w:t>PR5</w:t>
            </w:r>
          </w:p>
        </w:tc>
        <w:tc>
          <w:tcPr>
            <w:tcW w:type="dxa" w:w="1758"/>
          </w:tcPr>
          <w:p>
            <w:r>
              <w:t>Time-averaged recall at budget relative to the fixed schedule</w:t>
            </w:r>
          </w:p>
        </w:tc>
        <w:tc>
          <w:tcPr>
            <w:tcW w:type="dxa" w:w="1758"/>
          </w:tcPr>
          <w:p>
            <w:r>
              <w:t>Within 3 percent relative</w:t>
            </w:r>
          </w:p>
        </w:tc>
        <w:tc>
          <w:tcPr>
            <w:tcW w:type="dxa" w:w="1758"/>
          </w:tcPr>
          <w:p>
            <w:r>
              <w:t>Fewer retrains should not come at a real performance cost</w:t>
            </w:r>
          </w:p>
        </w:tc>
        <w:tc>
          <w:tcPr>
            <w:tcW w:type="dxa" w:w="1758"/>
          </w:tcPr>
          <w:p>
            <w:r>
              <w:t>Same ratio as PR4, computed on `time_averaged_recall_mean` instead of retrain count</w:t>
            </w:r>
          </w:p>
        </w:tc>
      </w:tr>
      <w:tr>
        <w:tc>
          <w:tcPr>
            <w:tcW w:type="dxa" w:w="1758"/>
          </w:tcPr>
          <w:p>
            <w:r>
              <w:t>PR6</w:t>
            </w:r>
          </w:p>
        </w:tc>
        <w:tc>
          <w:tcPr>
            <w:tcW w:type="dxa" w:w="1758"/>
          </w:tcPr>
          <w:p>
            <w:r>
              <w:t>Monitor time per window of 2000 transactions</w:t>
            </w:r>
          </w:p>
        </w:tc>
        <w:tc>
          <w:tcPr>
            <w:tcW w:type="dxa" w:w="1758"/>
          </w:tcPr>
          <w:p>
            <w:r>
              <w:t>At most 100 ms</w:t>
            </w:r>
          </w:p>
        </w:tc>
        <w:tc>
          <w:tcPr>
            <w:tcW w:type="dxa" w:w="1758"/>
          </w:tcPr>
          <w:p>
            <w:r>
              <w:t>A monitor that is too slow to run at serving time is not practical regardless of its accuracy</w:t>
            </w:r>
          </w:p>
        </w:tc>
        <w:tc>
          <w:tcPr>
            <w:tcW w:type="dxa" w:w="1758"/>
          </w:tcPr>
          <w:p>
            <w:r>
              <w:t>`telltale.cli profile`'s per-window monitor timing</w:t>
            </w:r>
          </w:p>
        </w:tc>
      </w:tr>
      <w:tr>
        <w:tc>
          <w:tcPr>
            <w:tcW w:type="dxa" w:w="1758"/>
          </w:tcPr>
          <w:p>
            <w:r>
              <w:t>PR7</w:t>
            </w:r>
          </w:p>
        </w:tc>
        <w:tc>
          <w:tcPr>
            <w:tcW w:type="dxa" w:w="1758"/>
          </w:tcPr>
          <w:p>
            <w:r>
              <w:t>Backstop detection within D + 5 windows of onset, scenario S4</w:t>
            </w:r>
          </w:p>
        </w:tc>
        <w:tc>
          <w:tcPr>
            <w:tcW w:type="dxa" w:w="1758"/>
          </w:tcPr>
          <w:p>
            <w:r>
              <w:t>Required</w:t>
            </w:r>
          </w:p>
        </w:tc>
        <w:tc>
          <w:tcPr>
            <w:tcW w:type="dxa" w:w="1758"/>
          </w:tcPr>
          <w:p>
            <w:r>
              <w:t>S4 is the scenario where label-free monitoring is expected to fail by design (H4); the backstop is what makes the overall framework safe on exactly this failure mode</w:t>
            </w:r>
          </w:p>
        </w:tc>
        <w:tc>
          <w:tcPr>
            <w:tcW w:type="dxa" w:w="1758"/>
          </w:tcPr>
          <w:p>
            <w:r>
              <w:t>`results/summary.json`'s `detection.S4\</w:t>
            </w:r>
          </w:p>
        </w:tc>
      </w:tr>
    </w:tbl>
    <w:p w14:paraId="2E0BEA7D" w14:textId="06519BCD" w:rsidR="00745F82" w:rsidRDefault="00745F82" w:rsidP="00745F82">
      <w:pPr>
        <w:spacing w:before="0" w:after="0"/>
        <w:jc w:val="left"/>
        <w:rPr>
          <w:b/>
          <w:bCs/>
          <w:kern w:val="32"/>
          <w:sz w:val="44"/>
          <w:szCs w:val="32"/>
          <w:lang w:val="en-GB"/>
        </w:rPr>
      </w:pPr>
      <w:bookmarkStart w:id="16" w:name="_GoBack"/>
      <w:bookmarkEnd w:id="16"/>
    </w:p>
    <w:p w14:paraId="1A2F7FA6" w14:textId="22C87EBD" w:rsidR="00745F82" w:rsidRDefault="009E0907" w:rsidP="00745F82">
      <w:pPr>
        <w:pStyle w:val="Heading1"/>
        <w:numPr>
          <w:ilvl w:val="0"/>
          <w:numId w:val="0"/>
        </w:numPr>
        <w:ind w:left="357"/>
        <w:jc w:val="center"/>
        <w:rPr>
          <w:rFonts w:ascii="Times New Roman" w:hAnsi="Times New Roman"/>
        </w:rPr>
      </w:pPr>
      <w:r>
        <w:rPr>
          <w:rFonts w:ascii="Times New Roman" w:hAnsi="Times New Roman"/>
        </w:rPr>
        <w:lastRenderedPageBreak/>
        <w:t>8</w:t>
      </w:r>
      <w:r w:rsidR="00745F82">
        <w:rPr>
          <w:rFonts w:ascii="Times New Roman" w:hAnsi="Times New Roman"/>
        </w:rPr>
        <w:t xml:space="preserve">. </w:t>
      </w:r>
      <w:r>
        <w:rPr>
          <w:rFonts w:ascii="Times New Roman" w:hAnsi="Times New Roman"/>
        </w:rPr>
        <w:t>Analytical and Desk Study Report</w:t>
      </w:r>
    </w:p>
    <w:p>
      <w:r>
        <w:rPr>
          <w:b/>
        </w:rPr>
        <w:t>Comparison of existing approaches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97"/>
        <w:gridCol w:w="2197"/>
        <w:gridCol w:w="2197"/>
        <w:gridCol w:w="2197"/>
      </w:tblGrid>
      <w:tr>
        <w:tc>
          <w:tcPr>
            <w:tcW w:type="dxa" w:w="2197"/>
          </w:tcPr>
          <w:p>
            <w:r>
              <w:rPr>
                <w:b/>
              </w:rPr>
              <w:t>Approach</w:t>
            </w:r>
          </w:p>
        </w:tc>
        <w:tc>
          <w:tcPr>
            <w:tcW w:type="dxa" w:w="2197"/>
          </w:tcPr>
          <w:p>
            <w:r>
              <w:rPr>
                <w:b/>
              </w:rPr>
              <w:t>Needs labels</w:t>
            </w:r>
          </w:p>
        </w:tc>
        <w:tc>
          <w:tcPr>
            <w:tcW w:type="dxa" w:w="2197"/>
          </w:tcPr>
          <w:p>
            <w:r>
              <w:rPr>
                <w:b/>
              </w:rPr>
              <w:t>Fits delayed labels</w:t>
            </w:r>
          </w:p>
        </w:tc>
        <w:tc>
          <w:tcPr>
            <w:tcW w:type="dxa" w:w="2197"/>
          </w:tcPr>
          <w:p>
            <w:r>
              <w:rPr>
                <w:b/>
              </w:rPr>
              <w:t>Weakness for this problem</w:t>
            </w:r>
          </w:p>
        </w:tc>
      </w:tr>
      <w:tr>
        <w:tc>
          <w:tcPr>
            <w:tcW w:type="dxa" w:w="2197"/>
          </w:tcPr>
          <w:p>
            <w:r>
              <w:t>Scheduled retraining (fixed calendar, baseline B1 in this project)</w:t>
            </w:r>
          </w:p>
        </w:tc>
        <w:tc>
          <w:tcPr>
            <w:tcW w:type="dxa" w:w="2197"/>
          </w:tcPr>
          <w:p>
            <w:r>
              <w:t>No (does not use any signal at all)</w:t>
            </w:r>
          </w:p>
        </w:tc>
        <w:tc>
          <w:tcPr>
            <w:tcW w:type="dxa" w:w="2197"/>
          </w:tcPr>
          <w:p>
            <w:r>
              <w:t>Trivially, since it ignores labels entirely</w:t>
            </w:r>
          </w:p>
        </w:tc>
        <w:tc>
          <w:tcPr>
            <w:tcW w:type="dxa" w:w="2197"/>
          </w:tcPr>
          <w:p>
            <w:r>
              <w:t>Retrains on a fixed clock regardless of whether anything changed; wastes compute in quiet periods and can miss a sudden shift for up to a full cycle</w:t>
            </w:r>
          </w:p>
        </w:tc>
      </w:tr>
      <w:tr>
        <w:tc>
          <w:tcPr>
            <w:tcW w:type="dxa" w:w="2197"/>
          </w:tcPr>
          <w:p>
            <w:r>
              <w:t>Error-rate drift detectors, e.g. DDM (Gama, Medas, Castillo, Rodrigues, 2004)</w:t>
            </w:r>
          </w:p>
        </w:tc>
        <w:tc>
          <w:tcPr>
            <w:tcW w:type="dxa" w:w="2197"/>
          </w:tcPr>
          <w:p>
            <w:r>
              <w:t>Yes, at every step</w:t>
            </w:r>
          </w:p>
        </w:tc>
        <w:tc>
          <w:tcPr>
            <w:tcW w:type="dxa" w:w="2197"/>
          </w:tcPr>
          <w:p>
            <w:r>
              <w:t>No: needs the true label immediately to track the online error rate</w:t>
            </w:r>
          </w:p>
        </w:tc>
        <w:tc>
          <w:tcPr>
            <w:tcW w:type="dxa" w:w="2197"/>
          </w:tcPr>
          <w:p>
            <w:r>
              <w:t>Cannot run at all until a label exists for each new example, which is exactly what a multi-day label delay rules out</w:t>
            </w:r>
          </w:p>
        </w:tc>
      </w:tr>
      <w:tr>
        <w:tc>
          <w:tcPr>
            <w:tcW w:type="dxa" w:w="2197"/>
          </w:tcPr>
          <w:p>
            <w:r>
              <w:t>Unsupervised two-sample tests, e.g. MMD (Gretton, Borgwardt, Rasch, Schoelkopf, Smola, 2012) or the comparison in Rabanser, Guennemann, Lipton (2019)</w:t>
            </w:r>
          </w:p>
        </w:tc>
        <w:tc>
          <w:tcPr>
            <w:tcW w:type="dxa" w:w="2197"/>
          </w:tcPr>
          <w:p>
            <w:r>
              <w:t>No</w:t>
            </w:r>
          </w:p>
        </w:tc>
        <w:tc>
          <w:tcPr>
            <w:tcW w:type="dxa" w:w="2197"/>
          </w:tcPr>
          <w:p>
            <w:r>
              <w:t>Yes, since it only needs the incoming features</w:t>
            </w:r>
          </w:p>
        </w:tc>
        <w:tc>
          <w:tcPr>
            <w:tcW w:type="dxa" w:w="2197"/>
          </w:tcPr>
          <w:p>
            <w:r>
              <w:t>Detects that the input distribution moved but says nothing about whether that move actually hurt the model, and is structurally blind to drift where the input marginals do not change (telltale's S4)</w:t>
            </w:r>
          </w:p>
        </w:tc>
      </w:tr>
      <w:tr>
        <w:tc>
          <w:tcPr>
            <w:tcW w:type="dxa" w:w="2197"/>
          </w:tcPr>
          <w:p>
            <w:r>
              <w:t>Classifier-based two-sample tests</w:t>
            </w:r>
          </w:p>
        </w:tc>
        <w:tc>
          <w:tcPr>
            <w:tcW w:type="dxa" w:w="2197"/>
          </w:tcPr>
          <w:p>
            <w:r>
              <w:t>No</w:t>
            </w:r>
          </w:p>
        </w:tc>
        <w:tc>
          <w:tcPr>
            <w:tcW w:type="dxa" w:w="2197"/>
          </w:tcPr>
          <w:p>
            <w:r>
              <w:t>Yes</w:t>
            </w:r>
          </w:p>
        </w:tc>
        <w:tc>
          <w:tcPr>
            <w:tcW w:type="dxa" w:w="2197"/>
          </w:tcPr>
          <w:p>
            <w:r>
              <w:t>Same blind spot as other input-only tests: a classifier trained to tell "old" windows from "new" windows cannot see a change confined to the label-generating function alone</w:t>
            </w:r>
          </w:p>
        </w:tc>
      </w:tr>
      <w:tr>
        <w:tc>
          <w:tcPr>
            <w:tcW w:type="dxa" w:w="2197"/>
          </w:tcPr>
          <w:p>
            <w:r>
              <w:t>Confidence / score-based monitoring, e.g. ATC (Garg, Balakrishnan, Lipton, Neyshabur, Sedghi, 2022)</w:t>
            </w:r>
          </w:p>
        </w:tc>
        <w:tc>
          <w:tcPr>
            <w:tcW w:type="dxa" w:w="2197"/>
          </w:tcPr>
          <w:p>
            <w:r>
              <w:t>No</w:t>
            </w:r>
          </w:p>
        </w:tc>
        <w:tc>
          <w:tcPr>
            <w:tcW w:type="dxa" w:w="2197"/>
          </w:tcPr>
          <w:p>
            <w:r>
              <w:t>Yes</w:t>
            </w:r>
          </w:p>
        </w:tc>
        <w:tc>
          <w:tcPr>
            <w:tcW w:type="dxa" w:w="2197"/>
          </w:tcPr>
          <w:p>
            <w:r>
              <w:t>Closest prior art to telltale's score monitor, but evaluated on static image benchmarks, not a streaming setting with a retrain policy or a delayed-label backstop</w:t>
            </w:r>
          </w:p>
        </w:tc>
      </w:tr>
      <w:tr>
        <w:tc>
          <w:tcPr>
            <w:tcW w:type="dxa" w:w="2197"/>
          </w:tcPr>
          <w:p>
            <w:r>
              <w:t>Label-shift estimation, e.g. BBSE (Lipton, Wang, Smola, 2018)</w:t>
            </w:r>
          </w:p>
        </w:tc>
        <w:tc>
          <w:tcPr>
            <w:tcW w:type="dxa" w:w="2197"/>
          </w:tcPr>
          <w:p>
            <w:r>
              <w:t>Needs source labels, not target labels</w:t>
            </w:r>
          </w:p>
        </w:tc>
        <w:tc>
          <w:tcPr>
            <w:tcW w:type="dxa" w:w="2197"/>
          </w:tcPr>
          <w:p>
            <w:r>
              <w:t>Partially</w:t>
            </w:r>
          </w:p>
        </w:tc>
        <w:tc>
          <w:tcPr>
            <w:tcW w:type="dxa" w:w="2197"/>
          </w:tcPr>
          <w:p>
            <w:r>
              <w:t>Assumes a specific shift structure (the label marginal moves, the class-conditional input distribution does not), which does not cover general covariate or concept drift</w:t>
            </w:r>
          </w:p>
        </w:tc>
      </w:tr>
      <w:tr>
        <w:tc>
          <w:tcPr>
            <w:tcW w:type="dxa" w:w="2197"/>
          </w:tcPr>
          <w:p>
            <w:r>
              <w:t>**telltale (this project)**</w:t>
            </w:r>
          </w:p>
        </w:tc>
        <w:tc>
          <w:tcPr>
            <w:tcW w:type="dxa" w:w="2197"/>
          </w:tcPr>
          <w:p>
            <w:r>
              <w:t>No for the label-free path; yes for the backstop, but only once labels mature</w:t>
            </w:r>
          </w:p>
        </w:tc>
        <w:tc>
          <w:tcPr>
            <w:tcW w:type="dxa" w:w="2197"/>
          </w:tcPr>
          <w:p>
            <w:r>
              <w:t>By design: this is the parameter the whole method is organised around</w:t>
            </w:r>
          </w:p>
        </w:tc>
        <w:tc>
          <w:tcPr>
            <w:tcW w:type="dxa" w:w="2197"/>
          </w:tcPr>
          <w:p>
            <w:r>
              <w:t>Structurally blind to pure concept drift on the label-free path alone (by the same logic as the input-only and classifier-based tests above); this is why the backstop exists</w:t>
            </w:r>
          </w:p>
        </w:tc>
      </w:tr>
    </w:tbl>
    <w:p>
      <w:r>
        <w:rPr>
          <w:b/>
        </w:rPr>
        <w:t>Reasoning for the proposed design</w:t>
      </w:r>
    </w:p>
    <w:p>
      <w:r>
        <w:t>No single approach in the table solves the actual operating constraint: a fraud classifier needs monitoring that works before labels exist, but any detector that is blind to concept drift leaves a real gap unaddressed, and that gap cannot be closed without eventually using real labels. telltale's design is therefore two channels, not one. The label-free channel (input drift PSI/KS plus score drift PSI/alert-ratio/entropy, PRD 6.3-6.4) gives speed on the drift type it can see, covariate drift, which is also the drift type the literature's input-only and confidence-based methods are built for. The delayed-label backstop (PRD 6.6) is a direct descendant of the classical error-rate detector idea (DDM), but deliberately only applied once labels mature, since that is the one thing DDM-style detectors cannot do without labels. Running both channels and letting the faster one win, with the retrain policy deferring a label-free alarm until enough fresh labels exist (PRD 6.6), is the combination none of the individual prior approaches attempt.</w:t>
      </w:r>
    </w:p>
    <w:p>
      <w:r>
        <w:rPr>
          <w:b/>
        </w:rPr>
        <w:t>Analytical model</w:t>
      </w:r>
    </w:p>
    <w:p>
      <w:r>
        <w:t>Stated in full in `docs/analytical_model.md` (quantities A1 to A5: detection delay, false alarm rate, exposure, retrain count, compute cost), each derived from the CUSUM mechanism (Page, 1954) and the method's own structure, with assumptions stated alongside each formula. Section 14.1 of the report compares these predictions against what the main run measured.</w:t>
      </w:r>
    </w:p>
    <w:p w14:paraId="2B40CCA9" w14:textId="243F68F2" w:rsidR="00745F82" w:rsidRDefault="00745F82" w:rsidP="00745F82">
      <w:pPr>
        <w:spacing w:before="0" w:after="0"/>
        <w:jc w:val="left"/>
        <w:rPr>
          <w:b/>
          <w:bCs/>
          <w:kern w:val="32"/>
          <w:sz w:val="44"/>
          <w:szCs w:val="32"/>
          <w:lang w:val="en-GB"/>
        </w:rPr>
      </w:pPr>
    </w:p>
    <w:p w14:paraId="6FF84290" w14:textId="755476FC" w:rsidR="00745F82" w:rsidRDefault="009E0907" w:rsidP="00745F82">
      <w:pPr>
        <w:pStyle w:val="Heading1"/>
        <w:numPr>
          <w:ilvl w:val="0"/>
          <w:numId w:val="0"/>
        </w:numPr>
        <w:ind w:left="357"/>
        <w:jc w:val="center"/>
        <w:rPr>
          <w:rFonts w:ascii="Times New Roman" w:hAnsi="Times New Roman"/>
        </w:rPr>
      </w:pPr>
      <w:r>
        <w:rPr>
          <w:rFonts w:ascii="Times New Roman" w:hAnsi="Times New Roman"/>
        </w:rPr>
        <w:lastRenderedPageBreak/>
        <w:t>9</w:t>
      </w:r>
      <w:r w:rsidR="00745F82">
        <w:rPr>
          <w:rFonts w:ascii="Times New Roman" w:hAnsi="Times New Roman"/>
        </w:rPr>
        <w:t xml:space="preserve">. </w:t>
      </w:r>
      <w:r>
        <w:rPr>
          <w:rFonts w:ascii="Times New Roman" w:hAnsi="Times New Roman"/>
        </w:rPr>
        <w:t xml:space="preserve">Component Identification and </w:t>
      </w:r>
      <w:r w:rsidR="00745F82">
        <w:rPr>
          <w:rFonts w:ascii="Times New Roman" w:hAnsi="Times New Roman"/>
        </w:rPr>
        <w:t>C</w:t>
      </w:r>
      <w:r>
        <w:rPr>
          <w:rFonts w:ascii="Times New Roman" w:hAnsi="Times New Roman"/>
        </w:rPr>
        <w:t xml:space="preserve">haracterization </w:t>
      </w:r>
      <w:r w:rsidR="00745F82">
        <w:rPr>
          <w:rFonts w:ascii="Times New Roman" w:hAnsi="Times New Roman"/>
        </w:rPr>
        <w:t>Sheet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255"/>
        <w:gridCol w:w="1255"/>
        <w:gridCol w:w="1255"/>
        <w:gridCol w:w="1255"/>
        <w:gridCol w:w="1255"/>
        <w:gridCol w:w="1255"/>
        <w:gridCol w:w="1255"/>
      </w:tblGrid>
      <w:tr>
        <w:tc>
          <w:tcPr>
            <w:tcW w:type="dxa" w:w="1255"/>
          </w:tcPr>
          <w:p>
            <w:r>
              <w:rPr>
                <w:b/>
              </w:rPr>
              <w:t>Component</w:t>
            </w:r>
          </w:p>
        </w:tc>
        <w:tc>
          <w:tcPr>
            <w:tcW w:type="dxa" w:w="1255"/>
          </w:tcPr>
          <w:p>
            <w:r>
              <w:rPr>
                <w:b/>
              </w:rPr>
              <w:t>Purpose</w:t>
            </w:r>
          </w:p>
        </w:tc>
        <w:tc>
          <w:tcPr>
            <w:tcW w:type="dxa" w:w="1255"/>
          </w:tcPr>
          <w:p>
            <w:r>
              <w:rPr>
                <w:b/>
              </w:rPr>
              <w:t>Library / class</w:t>
            </w:r>
          </w:p>
        </w:tc>
        <w:tc>
          <w:tcPr>
            <w:tcW w:type="dxa" w:w="1255"/>
          </w:tcPr>
          <w:p>
            <w:r>
              <w:rPr>
                <w:b/>
              </w:rPr>
              <w:t>Key parameters</w:t>
            </w:r>
          </w:p>
        </w:tc>
        <w:tc>
          <w:tcPr>
            <w:tcW w:type="dxa" w:w="1255"/>
          </w:tcPr>
          <w:p>
            <w:r>
              <w:rPr>
                <w:b/>
              </w:rPr>
              <w:t>Measured runtime</w:t>
            </w:r>
          </w:p>
        </w:tc>
        <w:tc>
          <w:tcPr>
            <w:tcW w:type="dxa" w:w="1255"/>
          </w:tcPr>
          <w:p>
            <w:r>
              <w:rPr>
                <w:b/>
              </w:rPr>
              <w:t>Measured memory</w:t>
            </w:r>
          </w:p>
        </w:tc>
        <w:tc>
          <w:tcPr>
            <w:tcW w:type="dxa" w:w="1255"/>
          </w:tcPr>
          <w:p>
            <w:r>
              <w:rPr>
                <w:b/>
              </w:rPr>
              <w:t>Alternatives considered</w:t>
            </w:r>
          </w:p>
        </w:tc>
      </w:tr>
      <w:tr>
        <w:tc>
          <w:tcPr>
            <w:tcW w:type="dxa" w:w="1255"/>
          </w:tcPr>
          <w:p>
            <w:r>
              <w:t>Stream source + drift injector</w:t>
            </w:r>
          </w:p>
        </w:tc>
        <w:tc>
          <w:tcPr>
            <w:tcW w:type="dxa" w:w="1255"/>
          </w:tcPr>
          <w:p>
            <w:r>
              <w:t>Produce window t's features and hidden labels under a chosen scenario</w:t>
            </w:r>
          </w:p>
        </w:tc>
        <w:tc>
          <w:tcPr>
            <w:tcW w:type="dxa" w:w="1255"/>
          </w:tcPr>
          <w:p>
            <w:r>
              <w:t>`telltale.data.stream.generate_stream`, `telltale.data.injector` (pure numpy)</w:t>
            </w:r>
          </w:p>
        </w:tc>
        <w:tc>
          <w:tcPr>
            <w:tcW w:type="dxa" w:w="1255"/>
          </w:tcPr>
          <w:p>
            <w:r>
              <w:t>T=150, N=2000, d=20, base fraud rate 2 percent</w:t>
            </w:r>
          </w:p>
        </w:tc>
        <w:tc>
          <w:tcPr>
            <w:tcW w:type="dxa" w:w="1255"/>
          </w:tcPr>
          <w:p>
            <w:r>
              <w:t>About 4.7s to generate one full 150-window stream</w:t>
            </w:r>
          </w:p>
        </w:tc>
        <w:tc>
          <w:tcPr>
            <w:tcW w:type="dxa" w:w="1255"/>
          </w:tcPr>
          <w:p>
            <w:r>
              <w:t>Negligible (a few arrays of 150x2000x20 floats, about 24 MB)</w:t>
            </w:r>
          </w:p>
        </w:tc>
        <w:tc>
          <w:tcPr>
            <w:tcW w:type="dxa" w:w="1255"/>
          </w:tcPr>
          <w:p>
            <w:r>
              <w:t>A real transaction pool (used instead for the P1 Kaggle check); rejected as primary because it has too little natural drift and too few frauds to calibrate against</w:t>
            </w:r>
          </w:p>
        </w:tc>
      </w:tr>
      <w:tr>
        <w:tc>
          <w:tcPr>
            <w:tcW w:type="dxa" w:w="1255"/>
          </w:tcPr>
          <w:p>
            <w:r>
              <w:t>Deployed model</w:t>
            </w:r>
          </w:p>
        </w:tc>
        <w:tc>
          <w:tcPr>
            <w:tcW w:type="dxa" w:w="1255"/>
          </w:tcPr>
          <w:p>
            <w:r>
              <w:t>Score each window's transactions</w:t>
            </w:r>
          </w:p>
        </w:tc>
        <w:tc>
          <w:tcPr>
            <w:tcW w:type="dxa" w:w="1255"/>
          </w:tcPr>
          <w:p>
            <w:r>
              <w:t>`sklearn.ensemble.HistGradientBoostingClassifier`</w:t>
            </w:r>
          </w:p>
        </w:tc>
        <w:tc>
          <w:tcPr>
            <w:tcW w:type="dxa" w:w="1255"/>
          </w:tcPr>
          <w:p>
            <w:r>
              <w:t>`max_iter=60`, no class weighting (see Section 1.4)</w:t>
            </w:r>
          </w:p>
        </w:tc>
        <w:tc>
          <w:tcPr>
            <w:tcW w:type="dxa" w:w="1255"/>
          </w:tcPr>
          <w:p>
            <w:r>
              <w:t>About 0.3 to 2s per fit on 40,000 rows (20 training windows x 2000)</w:t>
            </w:r>
          </w:p>
        </w:tc>
        <w:tc>
          <w:tcPr>
            <w:tcW w:type="dxa" w:w="1255"/>
          </w:tcPr>
          <w:p>
            <w:r>
              <w:t>Not separately profiled; small relative to the data arrays</w:t>
            </w:r>
          </w:p>
        </w:tc>
        <w:tc>
          <w:tcPr>
            <w:tcW w:type="dxa" w:w="1255"/>
          </w:tcPr>
          <w:p>
            <w:r>
              <w:t>`class_weight="balanced"` (rejected: measured 6 to 10s fixed overhead per fit on this machine, regardless of data size); logistic regression (P1 item, not reached)</w:t>
            </w:r>
          </w:p>
        </w:tc>
      </w:tr>
      <w:tr>
        <w:tc>
          <w:tcPr>
            <w:tcW w:type="dxa" w:w="1255"/>
          </w:tcPr>
          <w:p>
            <w:r>
              <w:t>Input drift monitor</w:t>
            </w:r>
          </w:p>
        </w:tc>
        <w:tc>
          <w:tcPr>
            <w:tcW w:type="dxa" w:w="1255"/>
          </w:tcPr>
          <w:p>
            <w:r>
              <w:t>Per-feature PSI and KS against the reference</w:t>
            </w:r>
          </w:p>
        </w:tc>
        <w:tc>
          <w:tcPr>
            <w:tcW w:type="dxa" w:w="1255"/>
          </w:tcPr>
          <w:p>
            <w:r>
              <w:t>`telltale.monitors.input_drift` (numpy, `scipy.stats.ks_2samp` for KS)</w:t>
            </w:r>
          </w:p>
        </w:tc>
        <w:tc>
          <w:tcPr>
            <w:tcW w:type="dxa" w:w="1255"/>
          </w:tcPr>
          <w:p>
            <w:r>
              <w:t>10 quantile bins, top-5-of-20-features aggregation</w:t>
            </w:r>
          </w:p>
        </w:tc>
        <w:tc>
          <w:tcPr>
            <w:tcW w:type="dxa" w:w="1255"/>
          </w:tcPr>
          <w:p>
            <w:r>
              <w:t>Included in the 5.6 ms/window combined monitor figure below (KS is computed only on demand for diagnostics, not every window)</w:t>
            </w:r>
          </w:p>
        </w:tc>
        <w:tc>
          <w:tcPr>
            <w:tcW w:type="dxa" w:w="1255"/>
          </w:tcPr>
          <w:p>
            <w:r>
              <w:t>Included below</w:t>
            </w:r>
          </w:p>
        </w:tc>
        <w:tc>
          <w:tcPr>
            <w:tcW w:type="dxa" w:w="1255"/>
          </w:tcPr>
          <w:p>
            <w:r>
              <w:t>Maximum Mean Discrepancy (Gretton et al., 2012): rejected for this project mainly on cost and interpretability grounds (a kernel two-sample test is heavier at this window size and does not decompose into a per-feature explanation the way PSI does)</w:t>
            </w:r>
          </w:p>
        </w:tc>
      </w:tr>
      <w:tr>
        <w:tc>
          <w:tcPr>
            <w:tcW w:type="dxa" w:w="1255"/>
          </w:tcPr>
          <w:p>
            <w:r>
              <w:t>Score / confidence monitor</w:t>
            </w:r>
          </w:p>
        </w:tc>
        <w:tc>
          <w:tcPr>
            <w:tcW w:type="dxa" w:w="1255"/>
          </w:tcPr>
          <w:p>
            <w:r>
              <w:t>PSI on log-odds scores, alert-rate ratio, mean entropy</w:t>
            </w:r>
          </w:p>
        </w:tc>
        <w:tc>
          <w:tcPr>
            <w:tcW w:type="dxa" w:w="1255"/>
          </w:tcPr>
          <w:p>
            <w:r>
              <w:t>`telltale.monitors.score_drift`</w:t>
            </w:r>
          </w:p>
        </w:tc>
        <w:tc>
          <w:tcPr>
            <w:tcW w:type="dxa" w:w="1255"/>
          </w:tcPr>
          <w:p>
            <w:r>
              <w:t>Alert budget 2 percent (operating threshold fixed at calibration time)</w:t>
            </w:r>
          </w:p>
        </w:tc>
        <w:tc>
          <w:tcPr>
            <w:tcW w:type="dxa" w:w="1255"/>
          </w:tcPr>
          <w:p>
            <w:r>
              <w:t>Included below</w:t>
            </w:r>
          </w:p>
        </w:tc>
        <w:tc>
          <w:tcPr>
            <w:tcW w:type="dxa" w:w="1255"/>
          </w:tcPr>
          <w:p>
            <w:r>
              <w:t>Included below</w:t>
            </w:r>
          </w:p>
        </w:tc>
        <w:tc>
          <w:tcPr>
            <w:tcW w:type="dxa" w:w="1255"/>
          </w:tcPr>
          <w:p>
            <w:r>
              <w:t>ATC-style accuracy prediction (Garg et al., 2022): closest prior art, folded in as the alert-ratio and entropy signals rather than adopted as a separate full method</w:t>
            </w:r>
          </w:p>
        </w:tc>
      </w:tr>
      <w:tr>
        <w:tc>
          <w:tcPr>
            <w:tcW w:type="dxa" w:w="1255"/>
          </w:tcPr>
          <w:p>
            <w:r>
              <w:t>Calibrator</w:t>
            </w:r>
          </w:p>
        </w:tc>
        <w:tc>
          <w:tcPr>
            <w:tcW w:type="dxa" w:w="1255"/>
          </w:tcPr>
          <w:p>
            <w:r>
              <w:t>Convert raw statistics to a common evidence scale via a resampled null</w:t>
            </w:r>
          </w:p>
        </w:tc>
        <w:tc>
          <w:tcPr>
            <w:tcW w:type="dxa" w:w="1255"/>
          </w:tcPr>
          <w:p>
            <w:r>
              <w:t>`telltale.monitors.calibration`</w:t>
            </w:r>
          </w:p>
        </w:tc>
        <w:tc>
          <w:tcPr>
            <w:tcW w:type="dxa" w:w="1255"/>
          </w:tcPr>
          <w:p>
            <w:r>
              <w:t>300 bootstrap draws, 99th-percentile threshold, whole-window-then-within-window resampling (see Section 1.4)</w:t>
            </w:r>
          </w:p>
        </w:tc>
        <w:tc>
          <w:tcPr>
            <w:tcW w:type="dxa" w:w="1255"/>
          </w:tcPr>
          <w:p>
            <w:r>
              <w:t>About 0.4 to 0.7s per reference rebuild (vectorised; an earlier unvectorised version measured about 135s)</w:t>
            </w:r>
          </w:p>
        </w:tc>
        <w:tc>
          <w:tcPr>
            <w:tcW w:type="dxa" w:w="1255"/>
          </w:tcPr>
          <w:p>
            <w:r>
              <w:t>Not separately profiled</w:t>
            </w:r>
          </w:p>
        </w:tc>
        <w:tc>
          <w:tcPr>
            <w:tcW w:type="dxa" w:w="1255"/>
          </w:tcPr>
          <w:p>
            <w:r>
              <w:t>A parametric null (assume a known distribution for each statistic) was rejected in favour of resampling, since PSI and the alert-ratio statistic do not have a convenient closed-form null distribution at this bin count and window size</w:t>
            </w:r>
          </w:p>
        </w:tc>
      </w:tr>
      <w:tr>
        <w:tc>
          <w:tcPr>
            <w:tcW w:type="dxa" w:w="1255"/>
          </w:tcPr>
          <w:p>
            <w:r>
              <w:t>Evidence combiner</w:t>
            </w:r>
          </w:p>
        </w:tc>
        <w:tc>
          <w:tcPr>
            <w:tcW w:type="dxa" w:w="1255"/>
          </w:tcPr>
          <w:p>
            <w:r>
              <w:t>Merge input and score evidence, run CUSUM</w:t>
            </w:r>
          </w:p>
        </w:tc>
        <w:tc>
          <w:tcPr>
            <w:tcW w:type="dxa" w:w="1255"/>
          </w:tcPr>
          <w:p>
            <w:r>
              <w:t>`telltale.monitors.combiner`, `telltale.monitors.cusum`</w:t>
            </w:r>
          </w:p>
        </w:tc>
        <w:tc>
          <w:tcPr>
            <w:tcW w:type="dxa" w:w="1255"/>
          </w:tcPr>
          <w:p>
            <w:r>
              <w:t>Combined CUSUM: slack 1.0, height 1.0 (tuned); backstop CUSUM: slack 2.2, height 1.0</w:t>
            </w:r>
          </w:p>
        </w:tc>
        <w:tc>
          <w:tcPr>
            <w:tcW w:type="dxa" w:w="1255"/>
          </w:tcPr>
          <w:p>
            <w:r>
              <w:t>All 8 strategies' monitor + policy overhead on one scenario/seed averages well under a second beyond model-fit time</w:t>
            </w:r>
          </w:p>
        </w:tc>
        <w:tc>
          <w:tcPr>
            <w:tcW w:type="dxa" w:w="1255"/>
          </w:tcPr>
          <w:p>
            <w:r>
              <w:t>Negligible</w:t>
            </w:r>
          </w:p>
        </w:tc>
        <w:tc>
          <w:tcPr>
            <w:tcW w:type="dxa" w:w="1255"/>
          </w:tcPr>
          <w:p>
            <w:r>
              <w:t>An adaptive window (ADWIN, Bifet and Gavalda, 2007) was considered and used as a desk-study comparison point (Section 8) rather than adopted, since it needs a labeled error signal in its common form</w:t>
            </w:r>
          </w:p>
        </w:tc>
      </w:tr>
      <w:tr>
        <w:tc>
          <w:tcPr>
            <w:tcW w:type="dxa" w:w="1255"/>
          </w:tcPr>
          <w:p>
            <w:r>
              <w:t>Backstop</w:t>
            </w:r>
          </w:p>
        </w:tc>
        <w:tc>
          <w:tcPr>
            <w:tcW w:type="dxa" w:w="1255"/>
          </w:tcPr>
          <w:p>
            <w:r>
              <w:t>Watch matured-window recall, CUSUM on sustained drops</w:t>
            </w:r>
          </w:p>
        </w:tc>
        <w:tc>
          <w:tcPr>
            <w:tcW w:type="dxa" w:w="1255"/>
          </w:tcPr>
          <w:p>
            <w:r>
              <w:t>`telltale.monitors.backstop`</w:t>
            </w:r>
          </w:p>
        </w:tc>
        <w:tc>
          <w:tcPr>
            <w:tcW w:type="dxa" w:w="1255"/>
          </w:tcPr>
          <w:p>
            <w:r>
              <w:t>Recall at 2 percent alert budget, z-scored against the 10 calibration windows</w:t>
            </w:r>
          </w:p>
        </w:tc>
        <w:tc>
          <w:tcPr>
            <w:tcW w:type="dxa" w:w="1255"/>
          </w:tcPr>
          <w:p>
            <w:r>
              <w:t>Negligible beyond the recall computation itself (`telltale.metrics.recall_at_budget`, an argpartition over each window)</w:t>
            </w:r>
          </w:p>
        </w:tc>
        <w:tc>
          <w:tcPr>
            <w:tcW w:type="dxa" w:w="1255"/>
          </w:tcPr>
          <w:p>
            <w:r>
              <w:t>Negligible</w:t>
            </w:r>
          </w:p>
        </w:tc>
        <w:tc>
          <w:tcPr>
            <w:tcW w:type="dxa" w:w="1255"/>
          </w:tcPr>
          <w:p>
            <w:r>
              <w:t>DDM-style error-rate tracking (Gama et al., 2004) is the direct ancestor; adapted here to only ever see matured, delayed labels instead of an immediate error signal</w:t>
            </w:r>
          </w:p>
        </w:tc>
      </w:tr>
      <w:tr>
        <w:tc>
          <w:tcPr>
            <w:tcW w:type="dxa" w:w="1255"/>
          </w:tcPr>
          <w:p>
            <w:r>
              <w:t>Retrainer</w:t>
            </w:r>
          </w:p>
        </w:tc>
        <w:tc>
          <w:tcPr>
            <w:tcW w:type="dxa" w:w="1255"/>
          </w:tcPr>
          <w:p>
            <w:r>
              <w:t>Refit on the W most recent matured windows, rebuild the reference</w:t>
            </w:r>
          </w:p>
        </w:tc>
        <w:tc>
          <w:tcPr>
            <w:tcW w:type="dxa" w:w="1255"/>
          </w:tcPr>
          <w:p>
            <w:r>
              <w:t>`telltale.models.Retrainer`</w:t>
            </w:r>
          </w:p>
        </w:tc>
        <w:tc>
          <w:tcPr>
            <w:tcW w:type="dxa" w:w="1255"/>
          </w:tcPr>
          <w:p>
            <w:r>
              <w:t>W=20 windows, 5-fold blocked out-of-fold scoring when a monitor reference is needed</w:t>
            </w:r>
          </w:p>
        </w:tc>
        <w:tc>
          <w:tcPr>
            <w:tcW w:type="dxa" w:w="1255"/>
          </w:tcPr>
          <w:p>
            <w:r>
              <w:t>About 15.5s when a reference is needed (6 fits), about 2.8s when it is not (1 fit)</w:t>
            </w:r>
          </w:p>
        </w:tc>
        <w:tc>
          <w:tcPr>
            <w:tcW w:type="dxa" w:w="1255"/>
          </w:tcPr>
          <w:p>
            <w:r>
              <w:t>Not separately profiled</w:t>
            </w:r>
          </w:p>
        </w:tc>
        <w:tc>
          <w:tcPr>
            <w:tcW w:type="dxa" w:w="1255"/>
          </w:tcPr>
          <w:p>
            <w:r>
              <w:t>Online/incremental updating of the existing model (instead of a full refit) was not implemented; full refit on a sliding window matches PRD 6.6 exactly and keeps every strategy comparable</w:t>
            </w:r>
          </w:p>
        </w:tc>
      </w:tr>
      <w:tr>
        <w:tc>
          <w:tcPr>
            <w:tcW w:type="dxa" w:w="1255"/>
          </w:tcPr>
          <w:p>
            <w:r>
              <w:t>Monitor (combined, operational)</w:t>
            </w:r>
          </w:p>
        </w:tc>
        <w:tc>
          <w:tcPr>
            <w:tcW w:type="dxa" w:w="1255"/>
          </w:tcPr>
          <w:p>
            <w:r>
              <w:t>Per-window evidence computation at serving time</w:t>
            </w:r>
          </w:p>
        </w:tc>
        <w:tc>
          <w:tcPr>
            <w:tcW w:type="dxa" w:w="1255"/>
          </w:tcPr>
          <w:p>
            <w:r>
              <w:t>`telltale.monitors.combiner.compute_window_evidence`</w:t>
            </w:r>
          </w:p>
        </w:tc>
        <w:tc>
          <w:tcPr>
            <w:tcW w:type="dxa" w:w="1255"/>
          </w:tcPr>
          <w:p>
            <w:r>
              <w:t>N=2000 (default window size)</w:t>
            </w:r>
          </w:p>
        </w:tc>
        <w:tc>
          <w:tcPr>
            <w:tcW w:type="dxa" w:w="1255"/>
          </w:tcPr>
          <w:p>
            <w:r>
              <w:t>5.6 ms/window at N=2000 (profiling); scales from 8.5 ms at N=1000 up to about 1.5s at N=1,000,000</w:t>
            </w:r>
          </w:p>
        </w:tc>
        <w:tc>
          <w:tcPr>
            <w:tcW w:type="dxa" w:w="1255"/>
          </w:tcPr>
          <w:p>
            <w:r>
              <w:t>80 KB peak at N=2000, up to about 39 MB at N=1,000,000</w:t>
            </w:r>
          </w:p>
        </w:tc>
        <w:tc>
          <w:tcPr>
            <w:tcW w:type="dxa" w:w="1255"/>
          </w:tcPr>
          <w:p>
            <w:r>
              <w:t>N/A, this is the project's own component</w:t>
            </w:r>
          </w:p>
        </w:tc>
      </w:tr>
    </w:tbl>
    <w:p>
      <w:r>
        <w:t>Full scale-up numbers (window size from 1,000 to 1,000,000 transactions) are in `results/profiling.json` and plotted in `results/figures/scale_up_runtime.png`.</w:t>
      </w:r>
    </w:p>
    <w:p w14:paraId="221E7FFB" w14:textId="4DA7DA51" w:rsidR="00745F82" w:rsidRDefault="00745F82" w:rsidP="00745F82">
      <w:pPr>
        <w:spacing w:before="0" w:after="0"/>
        <w:jc w:val="left"/>
        <w:rPr>
          <w:b/>
          <w:bCs/>
          <w:kern w:val="32"/>
          <w:sz w:val="44"/>
          <w:szCs w:val="32"/>
          <w:lang w:val="en-GB"/>
        </w:rPr>
      </w:pPr>
    </w:p>
    <w:p w14:paraId="072088CB" w14:textId="171E557D" w:rsidR="00745F82" w:rsidRDefault="009E0907" w:rsidP="00745F82">
      <w:pPr>
        <w:pStyle w:val="Heading1"/>
        <w:numPr>
          <w:ilvl w:val="0"/>
          <w:numId w:val="0"/>
        </w:numPr>
        <w:ind w:left="357"/>
        <w:jc w:val="center"/>
        <w:rPr>
          <w:rFonts w:ascii="Times New Roman" w:hAnsi="Times New Roman"/>
        </w:rPr>
      </w:pPr>
      <w:r>
        <w:rPr>
          <w:rFonts w:ascii="Times New Roman" w:hAnsi="Times New Roman"/>
        </w:rPr>
        <w:lastRenderedPageBreak/>
        <w:t>10</w:t>
      </w:r>
      <w:r w:rsidR="00745F82">
        <w:rPr>
          <w:rFonts w:ascii="Times New Roman" w:hAnsi="Times New Roman"/>
        </w:rPr>
        <w:t>. F</w:t>
      </w:r>
      <w:r>
        <w:rPr>
          <w:rFonts w:ascii="Times New Roman" w:hAnsi="Times New Roman"/>
        </w:rPr>
        <w:t>irst-Pass Performance Prediction Document</w:t>
      </w:r>
    </w:p>
    <w:p>
      <w:r>
        <w:t>Written after the tuning seeds (100-104) were used to calibrate the CUSUM parameters and the generator, and before the pilot or main run of `configs/main.yaml`. Numbers below come from the tuning-seed exploration recorded in `docs/decisions.md` and from the analytical model in `docs/analytical_model.md`. This file is committed before the first run of the main config and is not edited afterward; Section 14.1 of the report compares these predictions against what the main run actually measured.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97"/>
        <w:gridCol w:w="2197"/>
        <w:gridCol w:w="2197"/>
        <w:gridCol w:w="2197"/>
      </w:tblGrid>
      <w:tr>
        <w:tc>
          <w:tcPr>
            <w:tcW w:type="dxa" w:w="2197"/>
          </w:tcPr>
          <w:p>
            <w:r>
              <w:rPr>
                <w:b/>
              </w:rPr>
              <w:t>#</w:t>
            </w:r>
          </w:p>
        </w:tc>
        <w:tc>
          <w:tcPr>
            <w:tcW w:type="dxa" w:w="2197"/>
          </w:tcPr>
          <w:p>
            <w:r>
              <w:rPr>
                <w:b/>
              </w:rPr>
              <w:t>Quantity</w:t>
            </w:r>
          </w:p>
        </w:tc>
        <w:tc>
          <w:tcPr>
            <w:tcW w:type="dxa" w:w="2197"/>
          </w:tcPr>
          <w:p>
            <w:r>
              <w:rPr>
                <w:b/>
              </w:rPr>
              <w:t>Predicted range</w:t>
            </w:r>
          </w:p>
        </w:tc>
        <w:tc>
          <w:tcPr>
            <w:tcW w:type="dxa" w:w="2197"/>
          </w:tcPr>
          <w:p>
            <w:r>
              <w:rPr>
                <w:b/>
              </w:rPr>
              <w:t>Reasoning</w:t>
            </w:r>
          </w:p>
        </w:tc>
      </w:tr>
      <w:tr>
        <w:tc>
          <w:tcPr>
            <w:tcW w:type="dxa" w:w="2197"/>
          </w:tcPr>
          <w:p>
            <w:r>
              <w:t>1</w:t>
            </w:r>
          </w:p>
        </w:tc>
        <w:tc>
          <w:tcPr>
            <w:tcW w:type="dxa" w:w="2197"/>
          </w:tcPr>
          <w:p>
            <w:r>
              <w:t>Median label-free detection delay, S1 sudden covariate drift, all three severities</w:t>
            </w:r>
          </w:p>
        </w:tc>
        <w:tc>
          <w:tcPr>
            <w:tcW w:type="dxa" w:w="2197"/>
          </w:tcPr>
          <w:p>
            <w:r>
              <w:t>0 to 1 windows</w:t>
            </w:r>
          </w:p>
        </w:tc>
        <w:tc>
          <w:tcPr>
            <w:tcW w:type="dxa" w:w="2197"/>
          </w:tcPr>
          <w:p>
            <w:r>
              <w:t>The CUSUM height (1.0) is small relative to the evidence jump observed at onset on every tuning seed (input and score evidence both exceed 3x the height in the very first post-onset window at every severity), so the accumulated sum crosses the height within the same window the drift starts. A1's h/mu + 1 formula is conservative here because mu for a sudden jump this large already exceeds h on its own.</w:t>
            </w:r>
          </w:p>
        </w:tc>
      </w:tr>
      <w:tr>
        <w:tc>
          <w:tcPr>
            <w:tcW w:type="dxa" w:w="2197"/>
          </w:tcPr>
          <w:p>
            <w:r>
              <w:t>2</w:t>
            </w:r>
          </w:p>
        </w:tc>
        <w:tc>
          <w:tcPr>
            <w:tcW w:type="dxa" w:w="2197"/>
          </w:tcPr>
          <w:p>
            <w:r>
              <w:t>False alarm rate on S0 (no-drift control)</w:t>
            </w:r>
          </w:p>
        </w:tc>
        <w:tc>
          <w:tcPr>
            <w:tcW w:type="dxa" w:w="2197"/>
          </w:tcPr>
          <w:p>
            <w:r>
              <w:t>0 to 1 per 100 windows</w:t>
            </w:r>
          </w:p>
        </w:tc>
        <w:tc>
          <w:tcPr>
            <w:tcW w:type="dxa" w:w="2197"/>
          </w:tcPr>
          <w:p>
            <w:r>
              <w:t>The CUSUM was tuned on the tuning seeds against a target of 0.5 per 100 (half of PRD 6.5's 1-per-100 ceiling, for a safety margin on seeds the tuning never saw) and measured exactly 0 per 100 there. Evaluation seeds the tuning never saw may show a nonzero but still small rate; PRD 6.5's actual requirement (1 per 100) is the number that must hold, not the tuning-seed value of 0.</w:t>
            </w:r>
          </w:p>
        </w:tc>
      </w:tr>
      <w:tr>
        <w:tc>
          <w:tcPr>
            <w:tcW w:type="dxa" w:w="2197"/>
          </w:tcPr>
          <w:p>
            <w:r>
              <w:t>3</w:t>
            </w:r>
          </w:p>
        </w:tc>
        <w:tc>
          <w:tcPr>
            <w:tcW w:type="dxa" w:w="2197"/>
          </w:tcPr>
          <w:p>
            <w:r>
              <w:t>False alarm rate on S6 (benign seasonality)</w:t>
            </w:r>
          </w:p>
        </w:tc>
        <w:tc>
          <w:tcPr>
            <w:tcW w:type="dxa" w:w="2197"/>
          </w:tcPr>
          <w:p>
            <w:r>
              <w:t>0 to 1 per 100 windows</w:t>
            </w:r>
          </w:p>
        </w:tc>
        <w:tc>
          <w:tcPr>
            <w:tcW w:type="dxa" w:w="2197"/>
          </w:tcPr>
          <w:p>
            <w:r>
              <w:t>Same tuned parameters and reasoning as S0. This was the harder case twice over: a row-level bootstrap null calibration first gave S6 a mean evidence of about 3.2 (see docs/dev_log.md) that no parameter setting could bring under target; fixing that to a whole-window bootstrap then uncovered a second bug (a verbatim-window bootstrap can only produce as many distinct outcomes as there are reference windows, 10, which understated the true tail and let fresh S0 windows exceed threshold 60 percent of the time instead of about 1 percent). Both are fixed by resampling rows within each chosen window too.</w:t>
            </w:r>
          </w:p>
        </w:tc>
      </w:tr>
      <w:tr>
        <w:tc>
          <w:tcPr>
            <w:tcW w:type="dxa" w:w="2197"/>
          </w:tcPr>
          <w:p>
            <w:r>
              <w:t>4</w:t>
            </w:r>
          </w:p>
        </w:tc>
        <w:tc>
          <w:tcPr>
            <w:tcW w:type="dxa" w:w="2197"/>
          </w:tcPr>
          <w:p>
            <w:r>
              <w:t>Retrain count, B1 (fixed schedule, K=20) over 120 evaluation windows</w:t>
            </w:r>
          </w:p>
        </w:tc>
        <w:tc>
          <w:tcPr>
            <w:tcW w:type="dxa" w:w="2197"/>
          </w:tcPr>
          <w:p>
            <w:r>
              <w:t>Exactly 6</w:t>
            </w:r>
          </w:p>
        </w:tc>
        <w:tc>
          <w:tcPr>
            <w:tcW w:type="dxa" w:w="2197"/>
          </w:tcPr>
          <w:p>
            <w:r>
              <w:t>Deterministic: first scheduled retrain at window 40 (train_end + 1 + K), then every 20 windows through window 140, all within the 120-window evaluation period (30 to 149). Not really a prediction, a direct consequence of the schedule.</w:t>
            </w:r>
          </w:p>
        </w:tc>
      </w:tr>
      <w:tr>
        <w:tc>
          <w:tcPr>
            <w:tcW w:type="dxa" w:w="2197"/>
          </w:tcPr>
          <w:p>
            <w:r>
              <w:t>5</w:t>
            </w:r>
          </w:p>
        </w:tc>
        <w:tc>
          <w:tcPr>
            <w:tcW w:type="dxa" w:w="2197"/>
          </w:tcPr>
          <w:p>
            <w:r>
              <w:t>Retrain count, M1, S1 severe</w:t>
            </w:r>
          </w:p>
        </w:tc>
        <w:tc>
          <w:tcPr>
            <w:tcW w:type="dxa" w:w="2197"/>
          </w:tcPr>
          <w:p>
            <w:r>
              <w:t>2 to 4</w:t>
            </w:r>
          </w:p>
        </w:tc>
        <w:tc>
          <w:tcPr>
            <w:tcW w:type="dxa" w:w="2197"/>
          </w:tcPr>
          <w:p>
            <w:r>
              <w:t>On the tuning-seed exploration (which used an earlier, more conservative CUSUM setting), M1 retrained 3 times on one S1-severe tuning run: once for the single true onset event (plus deferred wait) and at most 1 to 2 more from the backstop or an occasional false alarm. This should land at or under 60 percent of B1's 6 retrains (H3's target), i.e. at or under 3 to 4.</w:t>
            </w:r>
          </w:p>
        </w:tc>
      </w:tr>
      <w:tr>
        <w:tc>
          <w:tcPr>
            <w:tcW w:type="dxa" w:w="2197"/>
          </w:tcPr>
          <w:p>
            <w:r>
              <w:t>6</w:t>
            </w:r>
          </w:p>
        </w:tc>
        <w:tc>
          <w:tcPr>
            <w:tcW w:type="dxa" w:w="2197"/>
          </w:tcPr>
          <w:p>
            <w:r>
              <w:t>Label-free detection on S4 (pure concept drift)</w:t>
            </w:r>
          </w:p>
        </w:tc>
        <w:tc>
          <w:tcPr>
            <w:tcW w:type="dxa" w:w="2197"/>
          </w:tcPr>
          <w:p>
            <w:r>
              <w:t>Fails to detect in the large majority of runs</w:t>
            </w:r>
          </w:p>
        </w:tc>
        <w:tc>
          <w:tcPr>
            <w:tcW w:type="dxa" w:w="2197"/>
          </w:tcPr>
          <w:p>
            <w:r>
              <w:t>By construction S4 only swaps which features generate the label; every feature's marginal distribution is unchanged (checked near-null PSI in the Phase 1 generator tests), so the input and score monitors have no signal to react to. On the 5 tuning seeds, the label-free monitor correctly stayed silent on 4 of 5; the one alarm that did fire is consistent with the calibrated 0.5-per-100 false alarm rate accumulated over about 90 post-onset windows, not a real detection. This is the expected negative result PRD 2.2 and H4 call for.</w:t>
            </w:r>
          </w:p>
        </w:tc>
      </w:tr>
      <w:tr>
        <w:tc>
          <w:tcPr>
            <w:tcW w:type="dxa" w:w="2197"/>
          </w:tcPr>
          <w:p>
            <w:r>
              <w:t>7</w:t>
            </w:r>
          </w:p>
        </w:tc>
        <w:tc>
          <w:tcPr>
            <w:tcW w:type="dxa" w:w="2197"/>
          </w:tcPr>
          <w:p>
            <w:r>
              <w:t>Backstop detection delay on S4</w:t>
            </w:r>
          </w:p>
        </w:tc>
        <w:tc>
          <w:tcPr>
            <w:tcW w:type="dxa" w:w="2197"/>
          </w:tcPr>
          <w:p>
            <w:r>
              <w:t>D to D + 3 windows (about 7 to 10)</w:t>
            </w:r>
          </w:p>
        </w:tc>
        <w:tc>
          <w:tcPr>
            <w:tcW w:type="dxa" w:w="2197"/>
          </w:tcPr>
          <w:p>
            <w:r>
              <w:t>The backstop can only act once a window's labels mature, so it cannot possibly beat D = 7 windows. On the tuning-seed exploration, the backstop's own evidence already exceeded its height using just the first matured post-onset window, so the predicted total delay is D plus a small handful of windows for the CUSUM to register, comfortably inside H4's D + 5 (12-window) requirement.</w:t>
            </w:r>
          </w:p>
        </w:tc>
      </w:tr>
      <w:tr>
        <w:tc>
          <w:tcPr>
            <w:tcW w:type="dxa" w:w="2197"/>
          </w:tcPr>
          <w:p>
            <w:r>
              <w:t>8</w:t>
            </w:r>
          </w:p>
        </w:tc>
        <w:tc>
          <w:tcPr>
            <w:tcW w:type="dxa" w:w="2197"/>
          </w:tcPr>
          <w:p>
            <w:r>
              <w:t>Early-warning lead time (backstop alarm window minus label-free alarm window), S1 moderate</w:t>
            </w:r>
          </w:p>
        </w:tc>
        <w:tc>
          <w:tcPr>
            <w:tcW w:type="dxa" w:w="2197"/>
          </w:tcPr>
          <w:p>
            <w:r>
              <w:t>About D windows (6 to 9)</w:t>
            </w:r>
          </w:p>
        </w:tc>
        <w:tc>
          <w:tcPr>
            <w:tcW w:type="dxa" w:w="2197"/>
          </w:tcPr>
          <w:p>
            <w:r>
              <w:t>Label-free detects within 0 to 1 windows of onset (prediction 1), while the backstop structurally cannot act before D = 7 windows after onset, plus a small accumulation delay. The difference is therefore close to D itself.</w:t>
            </w:r>
          </w:p>
        </w:tc>
      </w:tr>
      <w:tr>
        <w:tc>
          <w:tcPr>
            <w:tcW w:type="dxa" w:w="2197"/>
          </w:tcPr>
          <w:p>
            <w:r>
              <w:t>9</w:t>
            </w:r>
          </w:p>
        </w:tc>
        <w:tc>
          <w:tcPr>
            <w:tcW w:type="dxa" w:w="2197"/>
          </w:tcPr>
          <w:p>
            <w:r>
              <w:t>Gap closed (time-averaged recall at budget), M1 vs the B0-to-B2 range, S1 moderate and severe</w:t>
            </w:r>
          </w:p>
        </w:tc>
        <w:tc>
          <w:tcPr>
            <w:tcW w:type="dxa" w:w="2197"/>
          </w:tcPr>
          <w:p>
            <w:r>
              <w:t>0.6 to 0.9</w:t>
            </w:r>
          </w:p>
        </w:tc>
        <w:tc>
          <w:tcPr>
            <w:tcW w:type="dxa" w:w="2197"/>
          </w:tcPr>
          <w:p>
            <w:r>
              <w:t>M1 retrains close to the true event (predictions 1 and 8) and close to the oracle's own D + m timing, so it should recover most, but not necessarily all, of the gap between never retraining (B0) and the oracle (B2); some gap remains because the retrain itself needs W = 20 matured windows and the deferred-retrain wait (D + m) before a corrected model is deployed.</w:t>
            </w:r>
          </w:p>
        </w:tc>
      </w:tr>
      <w:tr>
        <w:tc>
          <w:tcPr>
            <w:tcW w:type="dxa" w:w="2197"/>
          </w:tcPr>
          <w:p>
            <w:r>
              <w:t>10</w:t>
            </w:r>
          </w:p>
        </w:tc>
        <w:tc>
          <w:tcPr>
            <w:tcW w:type="dxa" w:w="2197"/>
          </w:tcPr>
          <w:p>
            <w:r>
              <w:t>Monitor time per window</w:t>
            </w:r>
          </w:p>
        </w:tc>
        <w:tc>
          <w:tcPr>
            <w:tcW w:type="dxa" w:w="2197"/>
          </w:tcPr>
          <w:p>
            <w:r>
              <w:t>Well under the 100 ms target (PR6)</w:t>
            </w:r>
          </w:p>
        </w:tc>
        <w:tc>
          <w:tcPr>
            <w:tcW w:type="dxa" w:w="2197"/>
          </w:tcPr>
          <w:p>
            <w:r>
              <w:t>Measured directly during development (not from a formal profiling run yet): about 10 ms per monitored window after precomputing reference bin edges once per reference instead of per window (see docs/decisions.md, docs/dev_log.md). A 10x margin below the 100 ms requirement is expected to hold in the formal `telltale.cli profile` run.</w:t>
            </w:r>
          </w:p>
        </w:tc>
      </w:tr>
      <w:tr>
        <w:tc>
          <w:tcPr>
            <w:tcW w:type="dxa" w:w="2197"/>
          </w:tcPr>
          <w:p>
            <w:r>
              <w:t>11</w:t>
            </w:r>
          </w:p>
        </w:tc>
        <w:tc>
          <w:tcPr>
            <w:tcW w:type="dxa" w:w="2197"/>
          </w:tcPr>
          <w:p>
            <w:r>
              <w:t>Seconds per retrain, strategies that need a monitor reference (M0, M1, M1a, M1b, B3)</w:t>
            </w:r>
          </w:p>
        </w:tc>
        <w:tc>
          <w:tcPr>
            <w:tcW w:type="dxa" w:w="2197"/>
          </w:tcPr>
          <w:p>
            <w:r>
              <w:t>5 to 12 seconds</w:t>
            </w:r>
          </w:p>
        </w:tc>
        <w:tc>
          <w:tcPr>
            <w:tcW w:type="dxa" w:w="2197"/>
          </w:tcPr>
          <w:p>
            <w:r>
              <w:t>Each such retrain fits 6 models (1 deployed model plus a 5-fold blocked out-of-fold ensemble for the new reference, PRD 6.6), each fit measured at roughly 1 to 2 seconds on 40,000 rows (W=20 windows x N=2000) after removing the `class_weight="balanced"` performance bug (docs/decisions.md).</w:t>
            </w:r>
          </w:p>
        </w:tc>
      </w:tr>
      <w:tr>
        <w:tc>
          <w:tcPr>
            <w:tcW w:type="dxa" w:w="2197"/>
          </w:tcPr>
          <w:p>
            <w:r>
              <w:t>12</w:t>
            </w:r>
          </w:p>
        </w:tc>
        <w:tc>
          <w:tcPr>
            <w:tcW w:type="dxa" w:w="2197"/>
          </w:tcPr>
          <w:p>
            <w:r>
              <w:t>Seconds per retrain, strategies that never need a monitor reference (B1, B2)</w:t>
            </w:r>
          </w:p>
        </w:tc>
        <w:tc>
          <w:tcPr>
            <w:tcW w:type="dxa" w:w="2197"/>
          </w:tcPr>
          <w:p>
            <w:r>
              <w:t>1 to 2 seconds</w:t>
            </w:r>
          </w:p>
        </w:tc>
        <w:tc>
          <w:tcPr>
            <w:tcW w:type="dxa" w:w="2197"/>
          </w:tcPr>
          <w:p>
            <w:r>
              <w:t>Only the single deployed model is fit, no out-of-fold ensemble (`Retrainer.fit(..., need_oof=False)`), since B1 and B2 never build a drift-monitor reference.</w:t>
            </w:r>
          </w:p>
        </w:tc>
      </w:tr>
    </w:tbl>
    <w:p>
      <w:r>
        <w:rPr>
          <w:b/>
        </w:rPr>
        <w:t>What would change these predictions</w:t>
      </w:r>
    </w:p>
    <w:p>
      <w:r>
        <w:t>If the main run's evaluation seeds behave very differently from the 5 tuning seeds (for example, if false alarms cluster on a seed the tuning never saw), the false alarm rate (predictions 2, 3) could exceed the half-target margin while still staying under PRD 6.5's full 1-per-100 ceiling. Predictions 5 and 9 are the least certain, since they depend on the interaction between the deferred-retrain timer and the backstop racing to retrain first, which the tuning-seed exploration only checked informally, not with the full statistics (paired Wilcoxon, confidence intervals) the main run will produce.</w:t>
      </w:r>
    </w:p>
    <w:p w14:paraId="062C879A" w14:textId="6B734AAE" w:rsidR="00745F82" w:rsidRDefault="00745F82" w:rsidP="00745F82">
      <w:pPr>
        <w:spacing w:before="0" w:after="0"/>
        <w:jc w:val="left"/>
        <w:rPr>
          <w:b/>
          <w:bCs/>
          <w:kern w:val="32"/>
          <w:sz w:val="44"/>
          <w:szCs w:val="32"/>
          <w:lang w:val="en-GB"/>
        </w:rPr>
      </w:pPr>
    </w:p>
    <w:p w14:paraId="755AC6BB" w14:textId="329CB090" w:rsidR="00745F82" w:rsidRDefault="009E0907" w:rsidP="00745F82">
      <w:pPr>
        <w:pStyle w:val="Heading1"/>
        <w:numPr>
          <w:ilvl w:val="0"/>
          <w:numId w:val="0"/>
        </w:numPr>
        <w:ind w:left="357"/>
        <w:jc w:val="center"/>
        <w:rPr>
          <w:rFonts w:ascii="Times New Roman" w:hAnsi="Times New Roman"/>
        </w:rPr>
      </w:pPr>
      <w:r>
        <w:rPr>
          <w:rFonts w:ascii="Times New Roman" w:hAnsi="Times New Roman"/>
        </w:rPr>
        <w:lastRenderedPageBreak/>
        <w:t>11</w:t>
      </w:r>
      <w:r w:rsidR="00745F82">
        <w:rPr>
          <w:rFonts w:ascii="Times New Roman" w:hAnsi="Times New Roman"/>
        </w:rPr>
        <w:t xml:space="preserve">. </w:t>
      </w:r>
      <w:r>
        <w:rPr>
          <w:rFonts w:ascii="Times New Roman" w:hAnsi="Times New Roman"/>
        </w:rPr>
        <w:t>Early Simulation Output (</w:t>
      </w:r>
      <w:r w:rsidR="00745F82">
        <w:rPr>
          <w:rFonts w:ascii="Times New Roman" w:hAnsi="Times New Roman"/>
        </w:rPr>
        <w:t>Feasibility</w:t>
      </w:r>
      <w:r>
        <w:rPr>
          <w:rFonts w:ascii="Times New Roman" w:hAnsi="Times New Roman"/>
        </w:rPr>
        <w:t xml:space="preserve"> Evidence)</w:t>
      </w:r>
    </w:p>
    <w:p>
      <w:r>
        <w:rPr>
          <w:b/>
        </w:rPr>
        <w:t>Setup</w:t>
      </w:r>
    </w:p>
    <w:p>
      <w:r>
        <w:t>Pilot config (`configs/pilot.yaml`): scenarios S0 and S1 (moderate severity only), 5 seeds (0-4), strategies B0, B1, M1. Deliberately quick and rough (PRD Section 9 item 1), run in about 193 seconds. Full results in `results/pilot/`.</w:t>
      </w:r>
    </w:p>
    <w:p>
      <w:r>
        <w:rPr>
          <w:b/>
        </w:rPr>
        <w:t>Figure and table</w:t>
      </w:r>
    </w:p>
    <w:p>
      <w:r>
        <w:t>See `results/pilot/pilot_performance_over_time.png`: average precision over the stream, meaned across the 5 pilot seeds, for B0 (never retrain), B1 (fixed schedule), and M1 (full framework), on S1 moderate, with M1's label-free alarms and retrains marked.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929"/>
        <w:gridCol w:w="2929"/>
        <w:gridCol w:w="2929"/>
      </w:tblGrid>
      <w:tr>
        <w:tc>
          <w:tcPr>
            <w:tcW w:type="dxa" w:w="2929"/>
          </w:tcPr>
          <w:p>
            <w:r>
              <w:rPr>
                <w:b/>
              </w:rPr>
              <w:t>Strategy</w:t>
            </w:r>
          </w:p>
        </w:tc>
        <w:tc>
          <w:tcPr>
            <w:tcW w:type="dxa" w:w="2929"/>
          </w:tcPr>
          <w:p>
            <w:r>
              <w:rPr>
                <w:b/>
              </w:rPr>
              <w:t>Time-averaged recall at budget (mean, 5 pilot seeds)</w:t>
            </w:r>
          </w:p>
        </w:tc>
        <w:tc>
          <w:tcPr>
            <w:tcW w:type="dxa" w:w="2929"/>
          </w:tcPr>
          <w:p>
            <w:r>
              <w:rPr>
                <w:b/>
              </w:rPr>
              <w:t>Mean retrains</w:t>
            </w:r>
          </w:p>
        </w:tc>
      </w:tr>
      <w:tr>
        <w:tc>
          <w:tcPr>
            <w:tcW w:type="dxa" w:w="2929"/>
          </w:tcPr>
          <w:p>
            <w:r>
              <w:t>B0 (never retrain)</w:t>
            </w:r>
          </w:p>
        </w:tc>
        <w:tc>
          <w:tcPr>
            <w:tcW w:type="dxa" w:w="2929"/>
          </w:tcPr>
          <w:p>
            <w:r>
              <w:t>0.488</w:t>
            </w:r>
          </w:p>
        </w:tc>
        <w:tc>
          <w:tcPr>
            <w:tcW w:type="dxa" w:w="2929"/>
          </w:tcPr>
          <w:p>
            <w:r>
              <w:t>0.0</w:t>
            </w:r>
          </w:p>
        </w:tc>
      </w:tr>
      <w:tr>
        <w:tc>
          <w:tcPr>
            <w:tcW w:type="dxa" w:w="2929"/>
          </w:tcPr>
          <w:p>
            <w:r>
              <w:t>B1 (fixed schedule, K=20)</w:t>
            </w:r>
          </w:p>
        </w:tc>
        <w:tc>
          <w:tcPr>
            <w:tcW w:type="dxa" w:w="2929"/>
          </w:tcPr>
          <w:p>
            <w:r>
              <w:t>0.533</w:t>
            </w:r>
          </w:p>
        </w:tc>
        <w:tc>
          <w:tcPr>
            <w:tcW w:type="dxa" w:w="2929"/>
          </w:tcPr>
          <w:p>
            <w:r>
              <w:t>6.0</w:t>
            </w:r>
          </w:p>
        </w:tc>
      </w:tr>
      <w:tr>
        <w:tc>
          <w:tcPr>
            <w:tcW w:type="dxa" w:w="2929"/>
          </w:tcPr>
          <w:p>
            <w:r>
              <w:t>M1 (full framework)</w:t>
            </w:r>
          </w:p>
        </w:tc>
        <w:tc>
          <w:tcPr>
            <w:tcW w:type="dxa" w:w="2929"/>
          </w:tcPr>
          <w:p>
            <w:r>
              <w:t>0.526</w:t>
            </w:r>
          </w:p>
        </w:tc>
        <w:tc>
          <w:tcPr>
            <w:tcW w:type="dxa" w:w="2929"/>
          </w:tcPr>
          <w:p>
            <w:r>
              <w:t>1.6</w:t>
            </w:r>
          </w:p>
        </w:tc>
      </w:tr>
    </w:tbl>
    <w:p>
      <w:r>
        <w:rPr>
          <w:b/>
        </w:rPr>
        <w:t>What this suggests</w:t>
      </w:r>
    </w:p>
    <w:p>
      <w:pPr>
        <w:pStyle w:val="BulletedList"/>
      </w:pPr>
      <w:r>
        <w:t>The label-free monitor in M1 caught the onset of moderate covariate drift with 0 windows of delay on every pilot seed, while the delayed-label backstop needed a median of 8.5 windows (close to the analytical prediction of D=7 plus a small accumulation delay), which is the early-warning gap this project is built around.</w:t>
      </w:r>
    </w:p>
    <w:p>
      <w:pPr>
        <w:pStyle w:val="BulletedList"/>
      </w:pPr>
      <w:r>
        <w:t>M1 reached a time-averaged recall at budget within about 1.3 percent relative of the fixed schedule B1 while retraining about 1.6 times on average against B1's fixed 6, a large reduction in retrain count for essentially matching performance.</w:t>
      </w:r>
    </w:p>
    <w:p>
      <w:pPr>
        <w:pStyle w:val="BulletedList"/>
      </w:pPr>
      <w:r>
        <w:t>This is 5 pilot seeds and one scenario, not the full statistics; it is evidence the pipeline behaves as intended end to end, not a result to draw conclusions from (that is the main run's job, with 10 evaluation seeds, a paired Wilcoxon test, and confidence intervals).</w:t>
      </w:r>
    </w:p>
    <w:p w14:paraId="3686DF15" w14:textId="7B701362" w:rsidR="00745F82" w:rsidRDefault="00745F82" w:rsidP="00745F82">
      <w:pPr>
        <w:spacing w:before="0" w:after="0"/>
        <w:jc w:val="left"/>
        <w:rPr>
          <w:b/>
          <w:bCs/>
          <w:kern w:val="32"/>
          <w:sz w:val="44"/>
          <w:szCs w:val="32"/>
          <w:lang w:val="en-GB"/>
        </w:rPr>
      </w:pPr>
    </w:p>
    <w:p>
      <w:r>
        <w:drawing>
          <wp:inline xmlns:a="http://schemas.openxmlformats.org/drawingml/2006/main" xmlns:pic="http://schemas.openxmlformats.org/drawingml/2006/picture">
            <wp:extent cx="5486400" cy="2743200"/>
            <wp:docPr id="15" name="Picture 15"/>
            <wp:cNvGraphicFramePr>
              <a:graphicFrameLocks noChangeAspect="1"/>
            </wp:cNvGraphicFramePr>
            <a:graphic>
              <a:graphicData uri="http://schemas.openxmlformats.org/drawingml/2006/picture">
                <pic:pic>
                  <pic:nvPicPr>
                    <pic:cNvPr id="0" name="pilot_performance_over_time.png"/>
                    <pic:cNvPicPr/>
                  </pic:nvPicPr>
                  <pic:blipFill>
                    <a:blip r:embed="rId23"/>
                    <a:stretch>
                      <a:fillRect/>
                    </a:stretch>
                  </pic:blipFill>
                  <pic:spPr>
                    <a:xfrm>
                      <a:off x="0" y="0"/>
                      <a:ext cx="5486400" cy="2743200"/>
                    </a:xfrm>
                    <a:prstGeom prst="rect"/>
                  </pic:spPr>
                </pic:pic>
              </a:graphicData>
            </a:graphic>
          </wp:inline>
        </w:drawing>
      </w:r>
    </w:p>
    <w:p w14:paraId="6F28F8E0" w14:textId="70AEB723" w:rsidR="00745F82" w:rsidRDefault="009E0907" w:rsidP="00745F82">
      <w:pPr>
        <w:pStyle w:val="Heading1"/>
        <w:numPr>
          <w:ilvl w:val="0"/>
          <w:numId w:val="0"/>
        </w:numPr>
        <w:ind w:left="357"/>
        <w:jc w:val="center"/>
        <w:rPr>
          <w:rFonts w:ascii="Times New Roman" w:hAnsi="Times New Roman"/>
        </w:rPr>
      </w:pPr>
      <w:r>
        <w:rPr>
          <w:rFonts w:ascii="Times New Roman" w:hAnsi="Times New Roman"/>
        </w:rPr>
        <w:lastRenderedPageBreak/>
        <w:t>12</w:t>
      </w:r>
      <w:r w:rsidR="00745F82">
        <w:rPr>
          <w:rFonts w:ascii="Times New Roman" w:hAnsi="Times New Roman"/>
        </w:rPr>
        <w:t xml:space="preserve">. </w:t>
      </w:r>
      <w:r>
        <w:rPr>
          <w:rFonts w:ascii="Times New Roman" w:hAnsi="Times New Roman"/>
        </w:rPr>
        <w:t>Initial Qualitative Risk List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65"/>
        <w:gridCol w:w="1465"/>
        <w:gridCol w:w="1465"/>
        <w:gridCol w:w="1465"/>
        <w:gridCol w:w="1465"/>
        <w:gridCol w:w="1465"/>
      </w:tblGrid>
      <w:tr>
        <w:tc>
          <w:tcPr>
            <w:tcW w:type="dxa" w:w="1465"/>
          </w:tcPr>
          <w:p>
            <w:r>
              <w:rPr>
                <w:b/>
              </w:rPr>
              <w:t>#</w:t>
            </w:r>
          </w:p>
        </w:tc>
        <w:tc>
          <w:tcPr>
            <w:tcW w:type="dxa" w:w="1465"/>
          </w:tcPr>
          <w:p>
            <w:r>
              <w:rPr>
                <w:b/>
              </w:rPr>
              <w:t>Risk</w:t>
            </w:r>
          </w:p>
        </w:tc>
        <w:tc>
          <w:tcPr>
            <w:tcW w:type="dxa" w:w="1465"/>
          </w:tcPr>
          <w:p>
            <w:r>
              <w:rPr>
                <w:b/>
              </w:rPr>
              <w:t>Likelihood</w:t>
            </w:r>
          </w:p>
        </w:tc>
        <w:tc>
          <w:tcPr>
            <w:tcW w:type="dxa" w:w="1465"/>
          </w:tcPr>
          <w:p>
            <w:r>
              <w:rPr>
                <w:b/>
              </w:rPr>
              <w:t>Impact</w:t>
            </w:r>
          </w:p>
        </w:tc>
        <w:tc>
          <w:tcPr>
            <w:tcW w:type="dxa" w:w="1465"/>
          </w:tcPr>
          <w:p>
            <w:r>
              <w:rPr>
                <w:b/>
              </w:rPr>
              <w:t>Mitigation</w:t>
            </w:r>
          </w:p>
        </w:tc>
        <w:tc>
          <w:tcPr>
            <w:tcW w:type="dxa" w:w="1465"/>
          </w:tcPr>
          <w:p>
            <w:r>
              <w:rPr>
                <w:b/>
              </w:rPr>
              <w:t>Evidence</w:t>
            </w:r>
          </w:p>
        </w:tc>
      </w:tr>
      <w:tr>
        <w:tc>
          <w:tcPr>
            <w:tcW w:type="dxa" w:w="1465"/>
          </w:tcPr>
          <w:p>
            <w:r>
              <w:t>1</w:t>
            </w:r>
          </w:p>
        </w:tc>
        <w:tc>
          <w:tcPr>
            <w:tcW w:type="dxa" w:w="1465"/>
          </w:tcPr>
          <w:p>
            <w:r>
              <w:t>Label-free signals cannot see pure concept drift</w:t>
            </w:r>
          </w:p>
        </w:tc>
        <w:tc>
          <w:tcPr>
            <w:tcW w:type="dxa" w:w="1465"/>
          </w:tcPr>
          <w:p>
            <w:r>
              <w:t>High (by construction)</w:t>
            </w:r>
          </w:p>
        </w:tc>
        <w:tc>
          <w:tcPr>
            <w:tcW w:type="dxa" w:w="1465"/>
          </w:tcPr>
          <w:p>
            <w:r>
              <w:t>High: silent failure on exactly the drift type that looks like nothing changed</w:t>
            </w:r>
          </w:p>
        </w:tc>
        <w:tc>
          <w:tcPr>
            <w:tcW w:type="dxa" w:w="1465"/>
          </w:tcPr>
          <w:p>
            <w:r>
              <w:t>The delayed-label backstop exists for exactly this case; S4 is a dedicated scenario to measure it honestly rather than hide it</w:t>
            </w:r>
          </w:p>
        </w:tc>
        <w:tc>
          <w:tcPr>
            <w:tcW w:type="dxa" w:w="1465"/>
          </w:tcPr>
          <w:p>
            <w:r>
              <w:t>Pilot and tuning-seed runs: label-free monitor stayed silent on S4 in 4 of 5 tuning seeds (the one alarm matches the calibrated false-alarm rate); backstop detected it within D + a few windows</w:t>
            </w:r>
          </w:p>
        </w:tc>
      </w:tr>
      <w:tr>
        <w:tc>
          <w:tcPr>
            <w:tcW w:type="dxa" w:w="1465"/>
          </w:tcPr>
          <w:p>
            <w:r>
              <w:t>2</w:t>
            </w:r>
          </w:p>
        </w:tc>
        <w:tc>
          <w:tcPr>
            <w:tcW w:type="dxa" w:w="1465"/>
          </w:tcPr>
          <w:p>
            <w:r>
              <w:t>Seasonality mistaken for drift</w:t>
            </w:r>
          </w:p>
        </w:tc>
        <w:tc>
          <w:tcPr>
            <w:tcW w:type="dxa" w:w="1465"/>
          </w:tcPr>
          <w:p>
            <w:r>
              <w:t>Medium</w:t>
            </w:r>
          </w:p>
        </w:tc>
        <w:tc>
          <w:tcPr>
            <w:tcW w:type="dxa" w:w="1465"/>
          </w:tcPr>
          <w:p>
            <w:r>
              <w:t>Medium: alert fatigue, lost trust in the system</w:t>
            </w:r>
          </w:p>
        </w:tc>
        <w:tc>
          <w:tcPr>
            <w:tcW w:type="dxa" w:w="1465"/>
          </w:tcPr>
          <w:p>
            <w:r>
              <w:t>Null calibration is built from the reference period's own variability, including any seasonality already present there (S6); whole-window bootstrap resampling preserves the within-window structure a naive row-level bootstrap would wash out</w:t>
            </w:r>
          </w:p>
        </w:tc>
        <w:tc>
          <w:tcPr>
            <w:tcW w:type="dxa" w:w="1465"/>
          </w:tcPr>
          <w:p>
            <w:r>
              <w:t>Found and fixed during Phase 3 tuning: an early, row-level bootstrap gave S6 roughly 3x the target false alarm rate before the fix (docs/dev_log.md)</w:t>
            </w:r>
          </w:p>
        </w:tc>
      </w:tr>
      <w:tr>
        <w:tc>
          <w:tcPr>
            <w:tcW w:type="dxa" w:w="1465"/>
          </w:tcPr>
          <w:p>
            <w:r>
              <w:t>3</w:t>
            </w:r>
          </w:p>
        </w:tc>
        <w:tc>
          <w:tcPr>
            <w:tcW w:type="dxa" w:w="1465"/>
          </w:tcPr>
          <w:p>
            <w:r>
              <w:t>Thresholds calibrated on a short reference window are noisy</w:t>
            </w:r>
          </w:p>
        </w:tc>
        <w:tc>
          <w:tcPr>
            <w:tcW w:type="dxa" w:w="1465"/>
          </w:tcPr>
          <w:p>
            <w:r>
              <w:t>Medium</w:t>
            </w:r>
          </w:p>
        </w:tc>
        <w:tc>
          <w:tcPr>
            <w:tcW w:type="dxa" w:w="1465"/>
          </w:tcPr>
          <w:p>
            <w:r>
              <w:t>Medium: either too many false alarms or a threshold too loose to detect real drift</w:t>
            </w:r>
          </w:p>
        </w:tc>
        <w:tc>
          <w:tcPr>
            <w:tcW w:type="dxa" w:w="1465"/>
          </w:tcPr>
          <w:p>
            <w:r>
              <w:t>10 calibration windows is the PRD's fixed design; the null is built with 300 bootstrap draws per signal, and resampling within each chosen window (not just between windows) widens the estimated tail instead of capping it at 10 discrete outcomes</w:t>
            </w:r>
          </w:p>
        </w:tc>
        <w:tc>
          <w:tcPr>
            <w:tcW w:type="dxa" w:w="1465"/>
          </w:tcPr>
          <w:p>
            <w:r>
              <w:t>A dedicated null-calibration test (`tests/test_null_calibration.py`) checks a fresh window's exceedance rate directly, not just the bootstrap's own self-consistency</w:t>
            </w:r>
          </w:p>
        </w:tc>
      </w:tr>
      <w:tr>
        <w:tc>
          <w:tcPr>
            <w:tcW w:type="dxa" w:w="1465"/>
          </w:tcPr>
          <w:p>
            <w:r>
              <w:t>4</w:t>
            </w:r>
          </w:p>
        </w:tc>
        <w:tc>
          <w:tcPr>
            <w:tcW w:type="dxa" w:w="1465"/>
          </w:tcPr>
          <w:p>
            <w:r>
              <w:t>Retraining on contaminated or adversarially shaped data</w:t>
            </w:r>
          </w:p>
        </w:tc>
        <w:tc>
          <w:tcPr>
            <w:tcW w:type="dxa" w:w="1465"/>
          </w:tcPr>
          <w:p>
            <w:r>
              <w:t>Low in this simulation, real in production</w:t>
            </w:r>
          </w:p>
        </w:tc>
        <w:tc>
          <w:tcPr>
            <w:tcW w:type="dxa" w:w="1465"/>
          </w:tcPr>
          <w:p>
            <w:r>
              <w:t>High if it happens</w:t>
            </w:r>
          </w:p>
        </w:tc>
        <w:tc>
          <w:tcPr>
            <w:tcW w:type="dxa" w:w="1465"/>
          </w:tcPr>
          <w:p>
            <w:r>
              <w:t>Out of scope for this project's threat model, but the retrain window (W=20 matured windows) limits how much any single contaminated window can dominate a retrain</w:t>
            </w:r>
          </w:p>
        </w:tc>
        <w:tc>
          <w:tcPr>
            <w:tcW w:type="dxa" w:w="1465"/>
          </w:tcPr>
          <w:p>
            <w:r>
              <w:t>Not tested; flagged as a limitation (report Section 14.4)</w:t>
            </w:r>
          </w:p>
        </w:tc>
      </w:tr>
      <w:tr>
        <w:tc>
          <w:tcPr>
            <w:tcW w:type="dxa" w:w="1465"/>
          </w:tcPr>
          <w:p>
            <w:r>
              <w:t>5</w:t>
            </w:r>
          </w:p>
        </w:tc>
        <w:tc>
          <w:tcPr>
            <w:tcW w:type="dxa" w:w="1465"/>
          </w:tcPr>
          <w:p>
            <w:r>
              <w:t>Feedback loop: the model's own decisions change which cases get labelled</w:t>
            </w:r>
          </w:p>
        </w:tc>
        <w:tc>
          <w:tcPr>
            <w:tcW w:type="dxa" w:w="1465"/>
          </w:tcPr>
          <w:p>
            <w:r>
              <w:t>Medium in production, not modelled here</w:t>
            </w:r>
          </w:p>
        </w:tc>
        <w:tc>
          <w:tcPr>
            <w:tcW w:type="dxa" w:w="1465"/>
          </w:tcPr>
          <w:p>
            <w:r>
              <w:t>Medium to high: biases future training data toward what was already flagged</w:t>
            </w:r>
          </w:p>
        </w:tc>
        <w:tc>
          <w:tcPr>
            <w:tcW w:type="dxa" w:w="1465"/>
          </w:tcPr>
          <w:p>
            <w:r>
              <w:t>Not modelled; the simulation's hidden labels are generated independently of the model's predictions</w:t>
            </w:r>
          </w:p>
        </w:tc>
        <w:tc>
          <w:tcPr>
            <w:tcW w:type="dxa" w:w="1465"/>
          </w:tcPr>
          <w:p>
            <w:r>
              <w:t>Explicit limitation, PRD Section 2.2</w:t>
            </w:r>
          </w:p>
        </w:tc>
      </w:tr>
      <w:tr>
        <w:tc>
          <w:tcPr>
            <w:tcW w:type="dxa" w:w="1465"/>
          </w:tcPr>
          <w:p>
            <w:r>
              <w:t>6</w:t>
            </w:r>
          </w:p>
        </w:tc>
        <w:tc>
          <w:tcPr>
            <w:tcW w:type="dxa" w:w="1465"/>
          </w:tcPr>
          <w:p>
            <w:r>
              <w:t>Gap between the simulation and real fraud data</w:t>
            </w:r>
          </w:p>
        </w:tc>
        <w:tc>
          <w:tcPr>
            <w:tcW w:type="dxa" w:w="1465"/>
          </w:tcPr>
          <w:p>
            <w:r>
              <w:t>High (any simulation)</w:t>
            </w:r>
          </w:p>
        </w:tc>
        <w:tc>
          <w:tcPr>
            <w:tcW w:type="dxa" w:w="1465"/>
          </w:tcPr>
          <w:p>
            <w:r>
              <w:t>Medium: results may not transfer directly</w:t>
            </w:r>
          </w:p>
        </w:tc>
        <w:tc>
          <w:tcPr>
            <w:tcW w:type="dxa" w:w="1465"/>
          </w:tcPr>
          <w:p>
            <w:r>
              <w:t>The P1 semi-synthetic check on the Kaggle credit card dataset exists specifically to see whether detection behaviour holds outside the synthetic generator; Section 14.4 states clearly what does and does not transfer</w:t>
            </w:r>
          </w:p>
        </w:tc>
        <w:tc>
          <w:tcPr>
            <w:tcW w:type="dxa" w:w="1465"/>
          </w:tcPr>
          <w:p>
            <w:r>
              <w:t>Run only if `data/raw/creditcard.csv` is available; logged in dev_log if skipped</w:t>
            </w:r>
          </w:p>
        </w:tc>
      </w:tr>
      <w:tr>
        <w:tc>
          <w:tcPr>
            <w:tcW w:type="dxa" w:w="1465"/>
          </w:tcPr>
          <w:p>
            <w:r>
              <w:t>7</w:t>
            </w:r>
          </w:p>
        </w:tc>
        <w:tc>
          <w:tcPr>
            <w:tcW w:type="dxa" w:w="1465"/>
          </w:tcPr>
          <w:p>
            <w:r>
              <w:t>Label delay that varies case to case rather than being fixed</w:t>
            </w:r>
          </w:p>
        </w:tc>
        <w:tc>
          <w:tcPr>
            <w:tcW w:type="dxa" w:w="1465"/>
          </w:tcPr>
          <w:p>
            <w:r>
              <w:t>Medium in production</w:t>
            </w:r>
          </w:p>
        </w:tc>
        <w:tc>
          <w:tcPr>
            <w:tcW w:type="dxa" w:w="1465"/>
          </w:tcPr>
          <w:p>
            <w:r>
              <w:t>Medium: a fixed D is a simplification</w:t>
            </w:r>
          </w:p>
        </w:tc>
        <w:tc>
          <w:tcPr>
            <w:tcW w:type="dxa" w:w="1465"/>
          </w:tcPr>
          <w:p>
            <w:r>
              <w:t>PRD's sensitivity sweep (P1) varies D across 0, 3, 7, 14 to show how exposure and detection delay scale with it, which at least characterises sensitivity even though it does not model a variable per-case delay</w:t>
            </w:r>
          </w:p>
        </w:tc>
        <w:tc>
          <w:tcPr>
            <w:tcW w:type="dxa" w:w="1465"/>
          </w:tcPr>
          <w:p>
            <w:r>
              <w:t>Sensitivity results if run (P1 item)</w:t>
            </w:r>
          </w:p>
        </w:tc>
      </w:tr>
      <w:tr>
        <w:tc>
          <w:tcPr>
            <w:tcW w:type="dxa" w:w="1465"/>
          </w:tcPr>
          <w:p>
            <w:r>
              <w:t>8</w:t>
            </w:r>
          </w:p>
        </w:tc>
        <w:tc>
          <w:tcPr>
            <w:tcW w:type="dxa" w:w="1465"/>
          </w:tcPr>
          <w:p>
            <w:r>
              <w:t>Alert fatigue from false alarms</w:t>
            </w:r>
          </w:p>
        </w:tc>
        <w:tc>
          <w:tcPr>
            <w:tcW w:type="dxa" w:w="1465"/>
          </w:tcPr>
          <w:p>
            <w:r>
              <w:t>Medium</w:t>
            </w:r>
          </w:p>
        </w:tc>
        <w:tc>
          <w:tcPr>
            <w:tcW w:type="dxa" w:w="1465"/>
          </w:tcPr>
          <w:p>
            <w:r>
              <w:t>High: analysts start ignoring the system</w:t>
            </w:r>
          </w:p>
        </w:tc>
        <w:tc>
          <w:tcPr>
            <w:tcW w:type="dxa" w:w="1465"/>
          </w:tcPr>
          <w:p>
            <w:r>
              <w:t>The false-alarm target (PRD 6.5, H5) is tuned and tested directly on S0 and S6 before the main run even happens</w:t>
            </w:r>
          </w:p>
        </w:tc>
        <w:tc>
          <w:tcPr>
            <w:tcW w:type="dxa" w:w="1465"/>
          </w:tcPr>
          <w:p>
            <w:r>
              <w:t>`results/tuning.json`, `results/summary.json`'s false_alarms block</w:t>
            </w:r>
          </w:p>
        </w:tc>
      </w:tr>
      <w:tr>
        <w:tc>
          <w:tcPr>
            <w:tcW w:type="dxa" w:w="1465"/>
          </w:tcPr>
          <w:p>
            <w:r>
              <w:t>9</w:t>
            </w:r>
          </w:p>
        </w:tc>
        <w:tc>
          <w:tcPr>
            <w:tcW w:type="dxa" w:w="1465"/>
          </w:tcPr>
          <w:p>
            <w:r>
              <w:t>PSI is sensitive to binning and sample size</w:t>
            </w:r>
          </w:p>
        </w:tc>
        <w:tc>
          <w:tcPr>
            <w:tcW w:type="dxa" w:w="1465"/>
          </w:tcPr>
          <w:p>
            <w:r>
              <w:t>Medium</w:t>
            </w:r>
          </w:p>
        </w:tc>
        <w:tc>
          <w:tcPr>
            <w:tcW w:type="dxa" w:w="1465"/>
          </w:tcPr>
          <w:p>
            <w:r>
              <w:t>Low to medium: noisy input-drift signal</w:t>
            </w:r>
          </w:p>
        </w:tc>
        <w:tc>
          <w:tcPr>
            <w:tcW w:type="dxa" w:w="1465"/>
          </w:tcPr>
          <w:p>
            <w:r>
              <w:t>Fixed 10 quantile bins from the reference, computed once per reference and reused (not recomputed per window), with the top-5-of-20-features aggregation smoothing out single-feature binning noise</w:t>
            </w:r>
          </w:p>
        </w:tc>
        <w:tc>
          <w:tcPr>
            <w:tcW w:type="dxa" w:w="1465"/>
          </w:tcPr>
          <w:p>
            <w:r>
              <w:t>`telltale/monitors/stats.py`'s PSI unit tests (near-zero for identical distributions, grows with shift)</w:t>
            </w:r>
          </w:p>
        </w:tc>
      </w:tr>
      <w:tr>
        <w:tc>
          <w:tcPr>
            <w:tcW w:type="dxa" w:w="1465"/>
          </w:tcPr>
          <w:p>
            <w:r>
              <w:t>10</w:t>
            </w:r>
          </w:p>
        </w:tc>
        <w:tc>
          <w:tcPr>
            <w:tcW w:type="dxa" w:w="1465"/>
          </w:tcPr>
          <w:p>
            <w:r>
              <w:t>High-dimensional drift hidden by averaging over features</w:t>
            </w:r>
          </w:p>
        </w:tc>
        <w:tc>
          <w:tcPr>
            <w:tcW w:type="dxa" w:w="1465"/>
          </w:tcPr>
          <w:p>
            <w:r>
              <w:t>Medium</w:t>
            </w:r>
          </w:p>
        </w:tc>
        <w:tc>
          <w:tcPr>
            <w:tcW w:type="dxa" w:w="1465"/>
          </w:tcPr>
          <w:p>
            <w:r>
              <w:t>Medium: a drift confined to one or two features could be diluted by the top-5 mean</w:t>
            </w:r>
          </w:p>
        </w:tc>
        <w:tc>
          <w:tcPr>
            <w:tcW w:type="dxa" w:w="1465"/>
          </w:tcPr>
          <w:p>
            <w:r>
              <w:t>Mitigated partly by taking the mean of the top 5 (not all 20) PSI values, so only the most-shifted features count; not a complete fix for drift in a single feature among many</w:t>
            </w:r>
          </w:p>
        </w:tc>
        <w:tc>
          <w:tcPr>
            <w:tcW w:type="dxa" w:w="1465"/>
          </w:tcPr>
          <w:p>
            <w:r>
              <w:t>Not stress-tested beyond the 4-feature covariate shift the generator implements</w:t>
            </w:r>
          </w:p>
        </w:tc>
      </w:tr>
      <w:tr>
        <w:tc>
          <w:tcPr>
            <w:tcW w:type="dxa" w:w="1465"/>
          </w:tcPr>
          <w:p>
            <w:r>
              <w:t>11</w:t>
            </w:r>
          </w:p>
        </w:tc>
        <w:tc>
          <w:tcPr>
            <w:tcW w:type="dxa" w:w="1465"/>
          </w:tcPr>
          <w:p>
            <w:r>
              <w:t>Overfitting thresholds to the simulation</w:t>
            </w:r>
          </w:p>
        </w:tc>
        <w:tc>
          <w:tcPr>
            <w:tcW w:type="dxa" w:w="1465"/>
          </w:tcPr>
          <w:p>
            <w:r>
              <w:t>Medium</w:t>
            </w:r>
          </w:p>
        </w:tc>
        <w:tc>
          <w:tcPr>
            <w:tcW w:type="dxa" w:w="1465"/>
          </w:tcPr>
          <w:p>
            <w:r>
              <w:t>Medium: tuned parameters might not generalise</w:t>
            </w:r>
          </w:p>
        </w:tc>
        <w:tc>
          <w:tcPr>
            <w:tcW w:type="dxa" w:w="1465"/>
          </w:tcPr>
          <w:p>
            <w:r>
              <w:t>Tuning uses only the 5 tuning seeds (100-104); evaluation uses 10 entirely separate seeds (0-9) that the tuning never saw, with a safety margin (0.5 per 100 target instead of PRD's 1 per 100 ceiling) built in for exactly this risk</w:t>
            </w:r>
          </w:p>
        </w:tc>
        <w:tc>
          <w:tcPr>
            <w:tcW w:type="dxa" w:w="1465"/>
          </w:tcPr>
          <w:p>
            <w:r>
              <w:t>`results/summary.json`'s false-alarm rate on the evaluation seeds, compared against the tuning-seed rate in `results/tuning.json`</w:t>
            </w:r>
          </w:p>
        </w:tc>
      </w:tr>
      <w:tr>
        <w:tc>
          <w:tcPr>
            <w:tcW w:type="dxa" w:w="1465"/>
          </w:tcPr>
          <w:p>
            <w:r>
              <w:t>12</w:t>
            </w:r>
          </w:p>
        </w:tc>
        <w:tc>
          <w:tcPr>
            <w:tcW w:type="dxa" w:w="1465"/>
          </w:tcPr>
          <w:p>
            <w:r>
              <w:t>Information leakage inside the simulation</w:t>
            </w:r>
          </w:p>
        </w:tc>
        <w:tc>
          <w:tcPr>
            <w:tcW w:type="dxa" w:w="1465"/>
          </w:tcPr>
          <w:p>
            <w:r>
              <w:t>High impact if present, actively tested against</w:t>
            </w:r>
          </w:p>
        </w:tc>
        <w:tc>
          <w:tcPr>
            <w:tcW w:type="dxa" w:w="1465"/>
          </w:tcPr>
          <w:p>
            <w:r>
              <w:t>High: would invalidate every result</w:t>
            </w:r>
          </w:p>
        </w:tc>
        <w:tc>
          <w:tcPr>
            <w:tcW w:type="dxa" w:w="1465"/>
          </w:tcPr>
          <w:p>
            <w:r>
              <w:t>`telltale/data/label_vault.py`'s `LeakageError`, raised if any code requests a window's labels before `now - window &gt;= D`; covered by `tests/test_label_vault.py` and exercised by every simulation run, not just a unit test in isolation</w:t>
            </w:r>
          </w:p>
        </w:tc>
        <w:tc>
          <w:tcPr>
            <w:tcW w:type="dxa" w:w="1465"/>
          </w:tcPr>
          <w:p>
            <w:r>
              <w:t>All 38 project tests pass, including the leakage guard</w:t>
            </w:r>
          </w:p>
        </w:tc>
      </w:tr>
      <w:tr>
        <w:tc>
          <w:tcPr>
            <w:tcW w:type="dxa" w:w="1465"/>
          </w:tcPr>
          <w:p>
            <w:r>
              <w:t>13</w:t>
            </w:r>
          </w:p>
        </w:tc>
        <w:tc>
          <w:tcPr>
            <w:tcW w:type="dxa" w:w="1465"/>
          </w:tcPr>
          <w:p>
            <w:r>
              <w:t>Retrain after an alarm uses too few post-drift labels</w:t>
            </w:r>
          </w:p>
        </w:tc>
        <w:tc>
          <w:tcPr>
            <w:tcW w:type="dxa" w:w="1465"/>
          </w:tcPr>
          <w:p>
            <w:r>
              <w:t>Medium</w:t>
            </w:r>
          </w:p>
        </w:tc>
        <w:tc>
          <w:tcPr>
            <w:tcW w:type="dxa" w:w="1465"/>
          </w:tcPr>
          <w:p>
            <w:r>
              <w:t>Medium: a retrain right at the maturity boundary may still be mostly pre-drift data</w:t>
            </w:r>
          </w:p>
        </w:tc>
        <w:tc>
          <w:tcPr>
            <w:tcW w:type="dxa" w:w="1465"/>
          </w:tcPr>
          <w:p>
            <w:r>
              <w:t>The deferred-retrain wait (D + m, m=3 by default) exists specifically to ensure at least m post-alarm windows have matured before retraining</w:t>
            </w:r>
          </w:p>
        </w:tc>
        <w:tc>
          <w:tcPr>
            <w:tcW w:type="dxa" w:w="1465"/>
          </w:tcPr>
          <w:p>
            <w:r>
              <w:t>`tests/test_policy_timing.py` confirms the timing rule holds</w:t>
            </w:r>
          </w:p>
        </w:tc>
      </w:tr>
      <w:tr>
        <w:tc>
          <w:tcPr>
            <w:tcW w:type="dxa" w:w="1465"/>
          </w:tcPr>
          <w:p>
            <w:r>
              <w:t>14</w:t>
            </w:r>
          </w:p>
        </w:tc>
        <w:tc>
          <w:tcPr>
            <w:tcW w:type="dxa" w:w="1465"/>
          </w:tcPr>
          <w:p>
            <w:r>
              <w:t>Anonymised features in public data limit explanations</w:t>
            </w:r>
          </w:p>
        </w:tc>
        <w:tc>
          <w:tcPr>
            <w:tcW w:type="dxa" w:w="1465"/>
          </w:tcPr>
          <w:p>
            <w:r>
              <w:t>Medium (applies to the Kaggle P1 check)</w:t>
            </w:r>
          </w:p>
        </w:tc>
        <w:tc>
          <w:tcPr>
            <w:tcW w:type="dxa" w:w="1465"/>
          </w:tcPr>
          <w:p>
            <w:r>
              <w:t>Low to medium: harder to narrate which features drove an alarm in the real-data check</w:t>
            </w:r>
          </w:p>
        </w:tc>
        <w:tc>
          <w:tcPr>
            <w:tcW w:type="dxa" w:w="1465"/>
          </w:tcPr>
          <w:p>
            <w:r>
              <w:t>Acknowledged directly in Section 5.4's scope note; the synthetic generator's named features do not have this problem</w:t>
            </w:r>
          </w:p>
        </w:tc>
        <w:tc>
          <w:tcPr>
            <w:tcW w:type="dxa" w:w="1465"/>
          </w:tcPr>
          <w:p>
            <w:r>
              <w:t>N/A for the synthetic main experiment</w:t>
            </w:r>
          </w:p>
        </w:tc>
      </w:tr>
      <w:tr>
        <w:tc>
          <w:tcPr>
            <w:tcW w:type="dxa" w:w="1465"/>
          </w:tcPr>
          <w:p>
            <w:r>
              <w:t>15</w:t>
            </w:r>
          </w:p>
        </w:tc>
        <w:tc>
          <w:tcPr>
            <w:tcW w:type="dxa" w:w="1465"/>
          </w:tcPr>
          <w:p>
            <w:r>
              <w:t>Compute cost grows with the number of monitored models</w:t>
            </w:r>
          </w:p>
        </w:tc>
        <w:tc>
          <w:tcPr>
            <w:tcW w:type="dxa" w:w="1465"/>
          </w:tcPr>
          <w:p>
            <w:r>
              <w:t>Medium in a real deployment with many models</w:t>
            </w:r>
          </w:p>
        </w:tc>
        <w:tc>
          <w:tcPr>
            <w:tcW w:type="dxa" w:w="1465"/>
          </w:tcPr>
          <w:p>
            <w:r>
              <w:t>Medium: operational cost at scale</w:t>
            </w:r>
          </w:p>
        </w:tc>
        <w:tc>
          <w:tcPr>
            <w:tcW w:type="dxa" w:w="1465"/>
          </w:tcPr>
          <w:p>
            <w:r>
              <w:t>The scale-up note (Section 14.5) extrapolates measured per-window monitor time and per-retrain time to estimate the cost of monitoring many models at once</w:t>
            </w:r>
          </w:p>
        </w:tc>
        <w:tc>
          <w:tcPr>
            <w:tcW w:type="dxa" w:w="1465"/>
          </w:tcPr>
          <w:p>
            <w:r>
              <w:t>`telltale.cli profile` output</w:t>
            </w:r>
          </w:p>
        </w:tc>
      </w:tr>
      <w:tr>
        <w:tc>
          <w:tcPr>
            <w:tcW w:type="dxa" w:w="1465"/>
          </w:tcPr>
          <w:p>
            <w:r>
              <w:t>16</w:t>
            </w:r>
          </w:p>
        </w:tc>
        <w:tc>
          <w:tcPr>
            <w:tcW w:type="dxa" w:w="1465"/>
          </w:tcPr>
          <w:p>
            <w:r>
              <w:t>Project delivery risk: single developer, one-night deadline</w:t>
            </w:r>
          </w:p>
        </w:tc>
        <w:tc>
          <w:tcPr>
            <w:tcW w:type="dxa" w:w="1465"/>
          </w:tcPr>
          <w:p>
            <w:r>
              <w:t>Realised</w:t>
            </w:r>
          </w:p>
        </w:tc>
        <w:tc>
          <w:tcPr>
            <w:tcW w:type="dxa" w:w="1465"/>
          </w:tcPr>
          <w:p>
            <w:r>
              <w:t>High: directly limits scope</w:t>
            </w:r>
          </w:p>
        </w:tc>
        <w:tc>
          <w:tcPr>
            <w:tcW w:type="dxa" w:w="1465"/>
          </w:tcPr>
          <w:p>
            <w:r>
              <w:t>Addressed with PRD's own cut list: evaluation seeds cut from 20 to 10 (confirmed with the author), P1 items (sensitivity sweeps, second model, real-data check, interim adaptation) attempted only if time remains after all P0 work</w:t>
            </w:r>
          </w:p>
        </w:tc>
        <w:tc>
          <w:tcPr>
            <w:tcW w:type="dxa" w:w="1465"/>
          </w:tcPr>
          <w:p>
            <w:r>
              <w:t>`docs/decisions.md`, `docs/dev_log.md` document every cut and why</w:t>
            </w:r>
          </w:p>
        </w:tc>
      </w:tr>
    </w:tbl>
    <w:p w14:paraId="11E097D3" w14:textId="3DD88304" w:rsidR="00745F82" w:rsidRDefault="00745F82" w:rsidP="00745F82">
      <w:pPr>
        <w:spacing w:before="0" w:after="0"/>
        <w:jc w:val="left"/>
        <w:rPr>
          <w:b/>
          <w:bCs/>
          <w:kern w:val="32"/>
          <w:sz w:val="44"/>
          <w:szCs w:val="32"/>
          <w:lang w:val="en-GB"/>
        </w:rPr>
      </w:pPr>
    </w:p>
    <w:p w14:paraId="74145BD0" w14:textId="62DB8284" w:rsidR="002079B4" w:rsidRDefault="002079B4" w:rsidP="002079B4">
      <w:pPr>
        <w:pStyle w:val="Heading1"/>
        <w:numPr>
          <w:ilvl w:val="0"/>
          <w:numId w:val="0"/>
        </w:numPr>
        <w:ind w:left="357"/>
        <w:jc w:val="center"/>
        <w:rPr>
          <w:rFonts w:ascii="Times New Roman" w:hAnsi="Times New Roman"/>
        </w:rPr>
      </w:pPr>
      <w:r>
        <w:rPr>
          <w:rFonts w:ascii="Times New Roman" w:hAnsi="Times New Roman"/>
        </w:rPr>
        <w:lastRenderedPageBreak/>
        <w:t>13</w:t>
      </w:r>
      <w:r>
        <w:rPr>
          <w:rFonts w:ascii="Times New Roman" w:hAnsi="Times New Roman"/>
        </w:rPr>
        <w:t xml:space="preserve">. </w:t>
      </w:r>
      <w:r>
        <w:rPr>
          <w:rFonts w:ascii="Times New Roman" w:hAnsi="Times New Roman"/>
        </w:rPr>
        <w:t>Lab Test / Simulation Report for Critical Functions</w:t>
      </w:r>
    </w:p>
    <w:p w14:paraId="4C13245C" w14:textId="77777777" w:rsidR="002079B4" w:rsidRDefault="002079B4" w:rsidP="002079B4">
      <w:pPr>
        <w:spacing w:before="0" w:after="0"/>
        <w:jc w:val="left"/>
        <w:rPr>
          <w:b/>
          <w:bCs/>
          <w:kern w:val="32"/>
          <w:sz w:val="44"/>
          <w:szCs w:val="32"/>
          <w:lang w:val="en-GB"/>
        </w:rPr>
      </w:pPr>
      <w:r/>
      <w:proofErr w:type="spellStart"/>
      <w:r/>
      <w:proofErr w:type="spellEnd"/>
      <w:r/>
    </w:p>
    <w:p>
      <w:r>
        <w:rPr>
          <w:b/>
        </w:rPr>
        <w:t>13.1 Defined Performance Metrics List</w:t>
      </w:r>
    </w:p>
    <w:p>
      <w:r>
        <w:t>Required by the rubric's third row (Defined Performance Metrics List), mapped into report Section 13.1 per PRD 13.1. All of PRD Section 8's metrics: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94"/>
        <w:gridCol w:w="4394"/>
      </w:tblGrid>
      <w:tr>
        <w:tc>
          <w:tcPr>
            <w:tcW w:type="dxa" w:w="4394"/>
          </w:tcPr>
          <w:p>
            <w:r>
              <w:rPr>
                <w:b/>
              </w:rPr>
              <w:t>Metric</w:t>
            </w:r>
          </w:p>
        </w:tc>
        <w:tc>
          <w:tcPr>
            <w:tcW w:type="dxa" w:w="4394"/>
          </w:tcPr>
          <w:p>
            <w:r>
              <w:rPr>
                <w:b/>
              </w:rPr>
              <w:t>Definition</w:t>
            </w:r>
          </w:p>
        </w:tc>
      </w:tr>
      <w:tr>
        <w:tc>
          <w:tcPr>
            <w:tcW w:type="dxa" w:w="4394"/>
          </w:tcPr>
          <w:p>
            <w:r>
              <w:t>Average precision (AP) per window</w:t>
            </w:r>
          </w:p>
        </w:tc>
        <w:tc>
          <w:tcPr>
            <w:tcW w:type="dxa" w:w="4394"/>
          </w:tcPr>
          <w:p>
            <w:r>
              <w:t>Area under the precision-recall curve on window t, computed with the hidden labels (evaluation only)</w:t>
            </w:r>
          </w:p>
        </w:tc>
      </w:tr>
      <w:tr>
        <w:tc>
          <w:tcPr>
            <w:tcW w:type="dxa" w:w="4394"/>
          </w:tcPr>
          <w:p>
            <w:r>
              <w:t>Recall at alert budget</w:t>
            </w:r>
          </w:p>
        </w:tc>
        <w:tc>
          <w:tcPr>
            <w:tcW w:type="dxa" w:w="4394"/>
          </w:tcPr>
          <w:p>
            <w:r>
              <w:t>Share of frauds caught when the top 2 percent of transactions by score are flagged in each window</w:t>
            </w:r>
          </w:p>
        </w:tc>
      </w:tr>
      <w:tr>
        <w:tc>
          <w:tcPr>
            <w:tcW w:type="dxa" w:w="4394"/>
          </w:tcPr>
          <w:p>
            <w:r>
              <w:t>Time-averaged recall at budget</w:t>
            </w:r>
          </w:p>
        </w:tc>
        <w:tc>
          <w:tcPr>
            <w:tcW w:type="dxa" w:w="4394"/>
          </w:tcPr>
          <w:p>
            <w:r>
              <w:t>Mean of recall at budget over the evaluation windows</w:t>
            </w:r>
          </w:p>
        </w:tc>
      </w:tr>
      <w:tr>
        <w:tc>
          <w:tcPr>
            <w:tcW w:type="dxa" w:w="4394"/>
          </w:tcPr>
          <w:p>
            <w:r>
              <w:t>Gap closed</w:t>
            </w:r>
          </w:p>
        </w:tc>
        <w:tc>
          <w:tcPr>
            <w:tcW w:type="dxa" w:w="4394"/>
          </w:tcPr>
          <w:p>
            <w:r>
              <w:t>(method minus B0) divided by (B2 minus B0), on time-averaged recall at budget</w:t>
            </w:r>
          </w:p>
        </w:tc>
      </w:tr>
      <w:tr>
        <w:tc>
          <w:tcPr>
            <w:tcW w:type="dxa" w:w="4394"/>
          </w:tcPr>
          <w:p>
            <w:r>
              <w:t>Detection delay</w:t>
            </w:r>
          </w:p>
        </w:tc>
        <w:tc>
          <w:tcPr>
            <w:tcW w:type="dxa" w:w="4394"/>
          </w:tcPr>
          <w:p>
            <w:r>
              <w:t>Windows from a true event's onset to the first alarm after it, per event, per alarm type (label-free, backstop)</w:t>
            </w:r>
          </w:p>
        </w:tc>
      </w:tr>
      <w:tr>
        <w:tc>
          <w:tcPr>
            <w:tcW w:type="dxa" w:w="4394"/>
          </w:tcPr>
          <w:p>
            <w:r>
              <w:t>Detection rate</w:t>
            </w:r>
          </w:p>
        </w:tc>
        <w:tc>
          <w:tcPr>
            <w:tcW w:type="dxa" w:w="4394"/>
          </w:tcPr>
          <w:p>
            <w:r>
              <w:t>Share of events detected within 10 windows</w:t>
            </w:r>
          </w:p>
        </w:tc>
      </w:tr>
      <w:tr>
        <w:tc>
          <w:tcPr>
            <w:tcW w:type="dxa" w:w="4394"/>
          </w:tcPr>
          <w:p>
            <w:r>
              <w:t>False alarm rate</w:t>
            </w:r>
          </w:p>
        </w:tc>
        <w:tc>
          <w:tcPr>
            <w:tcW w:type="dxa" w:w="4394"/>
          </w:tcPr>
          <w:p>
            <w:r>
              <w:t>Alarms per 100 windows in segments with no active drift (S0, S6, and the pre-onset period of other scenarios)</w:t>
            </w:r>
          </w:p>
        </w:tc>
      </w:tr>
      <w:tr>
        <w:tc>
          <w:tcPr>
            <w:tcW w:type="dxa" w:w="4394"/>
          </w:tcPr>
          <w:p>
            <w:r>
              <w:t>Early-warning lead time</w:t>
            </w:r>
          </w:p>
        </w:tc>
        <w:tc>
          <w:tcPr>
            <w:tcW w:type="dxa" w:w="4394"/>
          </w:tcPr>
          <w:p>
            <w:r>
              <w:t>Backstop alarm window minus label-free alarm window, per event</w:t>
            </w:r>
          </w:p>
        </w:tc>
      </w:tr>
      <w:tr>
        <w:tc>
          <w:tcPr>
            <w:tcW w:type="dxa" w:w="4394"/>
          </w:tcPr>
          <w:p>
            <w:r>
              <w:t>Exposure</w:t>
            </w:r>
          </w:p>
        </w:tc>
        <w:tc>
          <w:tcPr>
            <w:tcW w:type="dxa" w:w="4394"/>
          </w:tcPr>
          <w:p>
            <w:r>
              <w:t>Windows between event onset and deployment of a corrected model</w:t>
            </w:r>
          </w:p>
        </w:tc>
      </w:tr>
      <w:tr>
        <w:tc>
          <w:tcPr>
            <w:tcW w:type="dxa" w:w="4394"/>
          </w:tcPr>
          <w:p>
            <w:r>
              <w:t>Retrain count</w:t>
            </w:r>
          </w:p>
        </w:tc>
        <w:tc>
          <w:tcPr>
            <w:tcW w:type="dxa" w:w="4394"/>
          </w:tcPr>
          <w:p>
            <w:r>
              <w:t>Number of retrains executed over the stream</w:t>
            </w:r>
          </w:p>
        </w:tc>
      </w:tr>
      <w:tr>
        <w:tc>
          <w:tcPr>
            <w:tcW w:type="dxa" w:w="4394"/>
          </w:tcPr>
          <w:p>
            <w:r>
              <w:t>Compute cost</w:t>
            </w:r>
          </w:p>
        </w:tc>
        <w:tc>
          <w:tcPr>
            <w:tcW w:type="dxa" w:w="4394"/>
          </w:tcPr>
          <w:p>
            <w:r>
              <w:t>Retrain count times measured seconds per retrain, plus monitoring seconds</w:t>
            </w:r>
          </w:p>
        </w:tc>
      </w:tr>
    </w:tbl>
    <w:p>
      <w:r>
        <w:t>Accuracy is never reported as a main metric: at a 2 percent base fraud rate, a model that flags nothing still scores about 98 percent accuracy, which says nothing useful about fraud detection.</w:t>
      </w:r>
    </w:p>
    <w:p>
      <w:r>
        <w:rPr>
          <w:b/>
        </w:rPr>
        <w:t>13.2 Scenario results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58"/>
        <w:gridCol w:w="1758"/>
        <w:gridCol w:w="1758"/>
        <w:gridCol w:w="1758"/>
        <w:gridCol w:w="1758"/>
      </w:tblGrid>
      <w:tr>
        <w:tc>
          <w:tcPr>
            <w:tcW w:type="dxa" w:w="1758"/>
          </w:tcPr>
          <w:p>
            <w:r>
              <w:rPr>
                <w:b/>
              </w:rPr>
              <w:t>Scenario</w:t>
            </w:r>
          </w:p>
        </w:tc>
        <w:tc>
          <w:tcPr>
            <w:tcW w:type="dxa" w:w="1758"/>
          </w:tcPr>
          <w:p>
            <w:r>
              <w:rPr>
                <w:b/>
              </w:rPr>
              <w:t>Strategy</w:t>
            </w:r>
          </w:p>
        </w:tc>
        <w:tc>
          <w:tcPr>
            <w:tcW w:type="dxa" w:w="1758"/>
          </w:tcPr>
          <w:p>
            <w:r>
              <w:rPr>
                <w:b/>
              </w:rPr>
              <w:t>Time-avg recall (mean)</w:t>
            </w:r>
          </w:p>
        </w:tc>
        <w:tc>
          <w:tcPr>
            <w:tcW w:type="dxa" w:w="1758"/>
          </w:tcPr>
          <w:p>
            <w:r>
              <w:rPr>
                <w:b/>
              </w:rPr>
              <w:t>95% CI</w:t>
            </w:r>
          </w:p>
        </w:tc>
        <w:tc>
          <w:tcPr>
            <w:tcW w:type="dxa" w:w="1758"/>
          </w:tcPr>
          <w:p>
            <w:r>
              <w:rPr>
                <w:b/>
              </w:rPr>
              <w:t>Mean retrains</w:t>
            </w:r>
          </w:p>
        </w:tc>
      </w:tr>
      <w:tr>
        <w:tc>
          <w:tcPr>
            <w:tcW w:type="dxa" w:w="1758"/>
          </w:tcPr>
          <w:p>
            <w:r>
              <w:t>S0</w:t>
            </w:r>
          </w:p>
        </w:tc>
        <w:tc>
          <w:tcPr>
            <w:tcW w:type="dxa" w:w="1758"/>
          </w:tcPr>
          <w:p>
            <w:r>
              <w:t>B0</w:t>
            </w:r>
          </w:p>
        </w:tc>
        <w:tc>
          <w:tcPr>
            <w:tcW w:type="dxa" w:w="1758"/>
          </w:tcPr>
          <w:p>
            <w:r>
              <w:t>0.581</w:t>
            </w:r>
          </w:p>
        </w:tc>
        <w:tc>
          <w:tcPr>
            <w:tcW w:type="dxa" w:w="1758"/>
          </w:tcPr>
          <w:p>
            <w:r>
              <w:t>[0.573, 0.590]</w:t>
            </w:r>
          </w:p>
        </w:tc>
        <w:tc>
          <w:tcPr>
            <w:tcW w:type="dxa" w:w="1758"/>
          </w:tcPr>
          <w:p>
            <w:r>
              <w:t>0.0</w:t>
            </w:r>
          </w:p>
        </w:tc>
      </w:tr>
      <w:tr>
        <w:tc>
          <w:tcPr>
            <w:tcW w:type="dxa" w:w="1758"/>
          </w:tcPr>
          <w:p>
            <w:r>
              <w:t>S0</w:t>
            </w:r>
          </w:p>
        </w:tc>
        <w:tc>
          <w:tcPr>
            <w:tcW w:type="dxa" w:w="1758"/>
          </w:tcPr>
          <w:p>
            <w:r>
              <w:t>B1</w:t>
            </w:r>
          </w:p>
        </w:tc>
        <w:tc>
          <w:tcPr>
            <w:tcW w:type="dxa" w:w="1758"/>
          </w:tcPr>
          <w:p>
            <w:r>
              <w:t>0.582</w:t>
            </w:r>
          </w:p>
        </w:tc>
        <w:tc>
          <w:tcPr>
            <w:tcW w:type="dxa" w:w="1758"/>
          </w:tcPr>
          <w:p>
            <w:r>
              <w:t>[0.576, 0.588]</w:t>
            </w:r>
          </w:p>
        </w:tc>
        <w:tc>
          <w:tcPr>
            <w:tcW w:type="dxa" w:w="1758"/>
          </w:tcPr>
          <w:p>
            <w:r>
              <w:t>6.0</w:t>
            </w:r>
          </w:p>
        </w:tc>
      </w:tr>
      <w:tr>
        <w:tc>
          <w:tcPr>
            <w:tcW w:type="dxa" w:w="1758"/>
          </w:tcPr>
          <w:p>
            <w:r>
              <w:t>S0</w:t>
            </w:r>
          </w:p>
        </w:tc>
        <w:tc>
          <w:tcPr>
            <w:tcW w:type="dxa" w:w="1758"/>
          </w:tcPr>
          <w:p>
            <w:r>
              <w:t>B2</w:t>
            </w:r>
          </w:p>
        </w:tc>
        <w:tc>
          <w:tcPr>
            <w:tcW w:type="dxa" w:w="1758"/>
          </w:tcPr>
          <w:p>
            <w:r>
              <w:t>0.581</w:t>
            </w:r>
          </w:p>
        </w:tc>
        <w:tc>
          <w:tcPr>
            <w:tcW w:type="dxa" w:w="1758"/>
          </w:tcPr>
          <w:p>
            <w:r>
              <w:t>[0.573, 0.590]</w:t>
            </w:r>
          </w:p>
        </w:tc>
        <w:tc>
          <w:tcPr>
            <w:tcW w:type="dxa" w:w="1758"/>
          </w:tcPr>
          <w:p>
            <w:r>
              <w:t>0.0</w:t>
            </w:r>
          </w:p>
        </w:tc>
      </w:tr>
      <w:tr>
        <w:tc>
          <w:tcPr>
            <w:tcW w:type="dxa" w:w="1758"/>
          </w:tcPr>
          <w:p>
            <w:r>
              <w:t>S0</w:t>
            </w:r>
          </w:p>
        </w:tc>
        <w:tc>
          <w:tcPr>
            <w:tcW w:type="dxa" w:w="1758"/>
          </w:tcPr>
          <w:p>
            <w:r>
              <w:t>B3</w:t>
            </w:r>
          </w:p>
        </w:tc>
        <w:tc>
          <w:tcPr>
            <w:tcW w:type="dxa" w:w="1758"/>
          </w:tcPr>
          <w:p>
            <w:r>
              <w:t>0.580</w:t>
            </w:r>
          </w:p>
        </w:tc>
        <w:tc>
          <w:tcPr>
            <w:tcW w:type="dxa" w:w="1758"/>
          </w:tcPr>
          <w:p>
            <w:r>
              <w:t>[0.573, 0.588]</w:t>
            </w:r>
          </w:p>
        </w:tc>
        <w:tc>
          <w:tcPr>
            <w:tcW w:type="dxa" w:w="1758"/>
          </w:tcPr>
          <w:p>
            <w:r>
              <w:t>0.3</w:t>
            </w:r>
          </w:p>
        </w:tc>
      </w:tr>
      <w:tr>
        <w:tc>
          <w:tcPr>
            <w:tcW w:type="dxa" w:w="1758"/>
          </w:tcPr>
          <w:p>
            <w:r>
              <w:t>S0</w:t>
            </w:r>
          </w:p>
        </w:tc>
        <w:tc>
          <w:tcPr>
            <w:tcW w:type="dxa" w:w="1758"/>
          </w:tcPr>
          <w:p>
            <w:r>
              <w:t>M0</w:t>
            </w:r>
          </w:p>
        </w:tc>
        <w:tc>
          <w:tcPr>
            <w:tcW w:type="dxa" w:w="1758"/>
          </w:tcPr>
          <w:p>
            <w:r>
              <w:t>0.581</w:t>
            </w:r>
          </w:p>
        </w:tc>
        <w:tc>
          <w:tcPr>
            <w:tcW w:type="dxa" w:w="1758"/>
          </w:tcPr>
          <w:p>
            <w:r>
              <w:t>[0.573, 0.590]</w:t>
            </w:r>
          </w:p>
        </w:tc>
        <w:tc>
          <w:tcPr>
            <w:tcW w:type="dxa" w:w="1758"/>
          </w:tcPr>
          <w:p>
            <w:r>
              <w:t>0.0</w:t>
            </w:r>
          </w:p>
        </w:tc>
      </w:tr>
      <w:tr>
        <w:tc>
          <w:tcPr>
            <w:tcW w:type="dxa" w:w="1758"/>
          </w:tcPr>
          <w:p>
            <w:r>
              <w:t>S0</w:t>
            </w:r>
          </w:p>
        </w:tc>
        <w:tc>
          <w:tcPr>
            <w:tcW w:type="dxa" w:w="1758"/>
          </w:tcPr>
          <w:p>
            <w:r>
              <w:t>M1</w:t>
            </w:r>
          </w:p>
        </w:tc>
        <w:tc>
          <w:tcPr>
            <w:tcW w:type="dxa" w:w="1758"/>
          </w:tcPr>
          <w:p>
            <w:r>
              <w:t>0.581</w:t>
            </w:r>
          </w:p>
        </w:tc>
        <w:tc>
          <w:tcPr>
            <w:tcW w:type="dxa" w:w="1758"/>
          </w:tcPr>
          <w:p>
            <w:r>
              <w:t>[0.573, 0.588]</w:t>
            </w:r>
          </w:p>
        </w:tc>
        <w:tc>
          <w:tcPr>
            <w:tcW w:type="dxa" w:w="1758"/>
          </w:tcPr>
          <w:p>
            <w:r>
              <w:t>0.7</w:t>
            </w:r>
          </w:p>
        </w:tc>
      </w:tr>
      <w:tr>
        <w:tc>
          <w:tcPr>
            <w:tcW w:type="dxa" w:w="1758"/>
          </w:tcPr>
          <w:p>
            <w:r>
              <w:t>S1</w:t>
            </w:r>
          </w:p>
        </w:tc>
        <w:tc>
          <w:tcPr>
            <w:tcW w:type="dxa" w:w="1758"/>
          </w:tcPr>
          <w:p>
            <w:r>
              <w:t>B0</w:t>
            </w:r>
          </w:p>
        </w:tc>
        <w:tc>
          <w:tcPr>
            <w:tcW w:type="dxa" w:w="1758"/>
          </w:tcPr>
          <w:p>
            <w:r>
              <w:t>0.482</w:t>
            </w:r>
          </w:p>
        </w:tc>
        <w:tc>
          <w:tcPr>
            <w:tcW w:type="dxa" w:w="1758"/>
          </w:tcPr>
          <w:p>
            <w:r>
              <w:t>[0.471, 0.493]</w:t>
            </w:r>
          </w:p>
        </w:tc>
        <w:tc>
          <w:tcPr>
            <w:tcW w:type="dxa" w:w="1758"/>
          </w:tcPr>
          <w:p>
            <w:r>
              <w:t>0.0</w:t>
            </w:r>
          </w:p>
        </w:tc>
      </w:tr>
      <w:tr>
        <w:tc>
          <w:tcPr>
            <w:tcW w:type="dxa" w:w="1758"/>
          </w:tcPr>
          <w:p>
            <w:r>
              <w:t>S1</w:t>
            </w:r>
          </w:p>
        </w:tc>
        <w:tc>
          <w:tcPr>
            <w:tcW w:type="dxa" w:w="1758"/>
          </w:tcPr>
          <w:p>
            <w:r>
              <w:t>B1</w:t>
            </w:r>
          </w:p>
        </w:tc>
        <w:tc>
          <w:tcPr>
            <w:tcW w:type="dxa" w:w="1758"/>
          </w:tcPr>
          <w:p>
            <w:r>
              <w:t>0.535</w:t>
            </w:r>
          </w:p>
        </w:tc>
        <w:tc>
          <w:tcPr>
            <w:tcW w:type="dxa" w:w="1758"/>
          </w:tcPr>
          <w:p>
            <w:r>
              <w:t>[0.533, 0.537]</w:t>
            </w:r>
          </w:p>
        </w:tc>
        <w:tc>
          <w:tcPr>
            <w:tcW w:type="dxa" w:w="1758"/>
          </w:tcPr>
          <w:p>
            <w:r>
              <w:t>6.0</w:t>
            </w:r>
          </w:p>
        </w:tc>
      </w:tr>
      <w:tr>
        <w:tc>
          <w:tcPr>
            <w:tcW w:type="dxa" w:w="1758"/>
          </w:tcPr>
          <w:p>
            <w:r>
              <w:t>S1</w:t>
            </w:r>
          </w:p>
        </w:tc>
        <w:tc>
          <w:tcPr>
            <w:tcW w:type="dxa" w:w="1758"/>
          </w:tcPr>
          <w:p>
            <w:r>
              <w:t>B2</w:t>
            </w:r>
          </w:p>
        </w:tc>
        <w:tc>
          <w:tcPr>
            <w:tcW w:type="dxa" w:w="1758"/>
          </w:tcPr>
          <w:p>
            <w:r>
              <w:t>0.526</w:t>
            </w:r>
          </w:p>
        </w:tc>
        <w:tc>
          <w:tcPr>
            <w:tcW w:type="dxa" w:w="1758"/>
          </w:tcPr>
          <w:p>
            <w:r>
              <w:t>[0.522, 0.530]</w:t>
            </w:r>
          </w:p>
        </w:tc>
        <w:tc>
          <w:tcPr>
            <w:tcW w:type="dxa" w:w="1758"/>
          </w:tcPr>
          <w:p>
            <w:r>
              <w:t>1.0</w:t>
            </w:r>
          </w:p>
        </w:tc>
      </w:tr>
      <w:tr>
        <w:tc>
          <w:tcPr>
            <w:tcW w:type="dxa" w:w="1758"/>
          </w:tcPr>
          <w:p>
            <w:r>
              <w:t>S1</w:t>
            </w:r>
          </w:p>
        </w:tc>
        <w:tc>
          <w:tcPr>
            <w:tcW w:type="dxa" w:w="1758"/>
          </w:tcPr>
          <w:p>
            <w:r>
              <w:t>B3</w:t>
            </w:r>
          </w:p>
        </w:tc>
        <w:tc>
          <w:tcPr>
            <w:tcW w:type="dxa" w:w="1758"/>
          </w:tcPr>
          <w:p>
            <w:r>
              <w:t>0.525</w:t>
            </w:r>
          </w:p>
        </w:tc>
        <w:tc>
          <w:tcPr>
            <w:tcW w:type="dxa" w:w="1758"/>
          </w:tcPr>
          <w:p>
            <w:r>
              <w:t>[0.516, 0.534]</w:t>
            </w:r>
          </w:p>
        </w:tc>
        <w:tc>
          <w:tcPr>
            <w:tcW w:type="dxa" w:w="1758"/>
          </w:tcPr>
          <w:p>
            <w:r>
              <w:t>1.4</w:t>
            </w:r>
          </w:p>
        </w:tc>
      </w:tr>
      <w:tr>
        <w:tc>
          <w:tcPr>
            <w:tcW w:type="dxa" w:w="1758"/>
          </w:tcPr>
          <w:p>
            <w:r>
              <w:t>S1</w:t>
            </w:r>
          </w:p>
        </w:tc>
        <w:tc>
          <w:tcPr>
            <w:tcW w:type="dxa" w:w="1758"/>
          </w:tcPr>
          <w:p>
            <w:r>
              <w:t>M0</w:t>
            </w:r>
          </w:p>
        </w:tc>
        <w:tc>
          <w:tcPr>
            <w:tcW w:type="dxa" w:w="1758"/>
          </w:tcPr>
          <w:p>
            <w:r>
              <w:t>0.531</w:t>
            </w:r>
          </w:p>
        </w:tc>
        <w:tc>
          <w:tcPr>
            <w:tcW w:type="dxa" w:w="1758"/>
          </w:tcPr>
          <w:p>
            <w:r>
              <w:t>[0.523, 0.538]</w:t>
            </w:r>
          </w:p>
        </w:tc>
        <w:tc>
          <w:tcPr>
            <w:tcW w:type="dxa" w:w="1758"/>
          </w:tcPr>
          <w:p>
            <w:r>
              <w:t>1.4</w:t>
            </w:r>
          </w:p>
        </w:tc>
      </w:tr>
      <w:tr>
        <w:tc>
          <w:tcPr>
            <w:tcW w:type="dxa" w:w="1758"/>
          </w:tcPr>
          <w:p>
            <w:r>
              <w:t>S1</w:t>
            </w:r>
          </w:p>
        </w:tc>
        <w:tc>
          <w:tcPr>
            <w:tcW w:type="dxa" w:w="1758"/>
          </w:tcPr>
          <w:p>
            <w:r>
              <w:t>M1</w:t>
            </w:r>
          </w:p>
        </w:tc>
        <w:tc>
          <w:tcPr>
            <w:tcW w:type="dxa" w:w="1758"/>
          </w:tcPr>
          <w:p>
            <w:r>
              <w:t>0.530</w:t>
            </w:r>
          </w:p>
        </w:tc>
        <w:tc>
          <w:tcPr>
            <w:tcW w:type="dxa" w:w="1758"/>
          </w:tcPr>
          <w:p>
            <w:r>
              <w:t>[0.519, 0.542]</w:t>
            </w:r>
          </w:p>
        </w:tc>
        <w:tc>
          <w:tcPr>
            <w:tcW w:type="dxa" w:w="1758"/>
          </w:tcPr>
          <w:p>
            <w:r>
              <w:t>1.9</w:t>
            </w:r>
          </w:p>
        </w:tc>
      </w:tr>
      <w:tr>
        <w:tc>
          <w:tcPr>
            <w:tcW w:type="dxa" w:w="1758"/>
          </w:tcPr>
          <w:p>
            <w:r>
              <w:t>S2</w:t>
            </w:r>
          </w:p>
        </w:tc>
        <w:tc>
          <w:tcPr>
            <w:tcW w:type="dxa" w:w="1758"/>
          </w:tcPr>
          <w:p>
            <w:r>
              <w:t>B0</w:t>
            </w:r>
          </w:p>
        </w:tc>
        <w:tc>
          <w:tcPr>
            <w:tcW w:type="dxa" w:w="1758"/>
          </w:tcPr>
          <w:p>
            <w:r>
              <w:t>0.503</w:t>
            </w:r>
          </w:p>
        </w:tc>
        <w:tc>
          <w:tcPr>
            <w:tcW w:type="dxa" w:w="1758"/>
          </w:tcPr>
          <w:p>
            <w:r>
              <w:t>[0.493, 0.513]</w:t>
            </w:r>
          </w:p>
        </w:tc>
        <w:tc>
          <w:tcPr>
            <w:tcW w:type="dxa" w:w="1758"/>
          </w:tcPr>
          <w:p>
            <w:r>
              <w:t>0.0</w:t>
            </w:r>
          </w:p>
        </w:tc>
      </w:tr>
      <w:tr>
        <w:tc>
          <w:tcPr>
            <w:tcW w:type="dxa" w:w="1758"/>
          </w:tcPr>
          <w:p>
            <w:r>
              <w:t>S2</w:t>
            </w:r>
          </w:p>
        </w:tc>
        <w:tc>
          <w:tcPr>
            <w:tcW w:type="dxa" w:w="1758"/>
          </w:tcPr>
          <w:p>
            <w:r>
              <w:t>B1</w:t>
            </w:r>
          </w:p>
        </w:tc>
        <w:tc>
          <w:tcPr>
            <w:tcW w:type="dxa" w:w="1758"/>
          </w:tcPr>
          <w:p>
            <w:r>
              <w:t>0.544</w:t>
            </w:r>
          </w:p>
        </w:tc>
        <w:tc>
          <w:tcPr>
            <w:tcW w:type="dxa" w:w="1758"/>
          </w:tcPr>
          <w:p>
            <w:r>
              <w:t>[0.538, 0.549]</w:t>
            </w:r>
          </w:p>
        </w:tc>
        <w:tc>
          <w:tcPr>
            <w:tcW w:type="dxa" w:w="1758"/>
          </w:tcPr>
          <w:p>
            <w:r>
              <w:t>6.0</w:t>
            </w:r>
          </w:p>
        </w:tc>
      </w:tr>
      <w:tr>
        <w:tc>
          <w:tcPr>
            <w:tcW w:type="dxa" w:w="1758"/>
          </w:tcPr>
          <w:p>
            <w:r>
              <w:t>S2</w:t>
            </w:r>
          </w:p>
        </w:tc>
        <w:tc>
          <w:tcPr>
            <w:tcW w:type="dxa" w:w="1758"/>
          </w:tcPr>
          <w:p>
            <w:r>
              <w:t>B2</w:t>
            </w:r>
          </w:p>
        </w:tc>
        <w:tc>
          <w:tcPr>
            <w:tcW w:type="dxa" w:w="1758"/>
          </w:tcPr>
          <w:p>
            <w:r>
              <w:t>0.508</w:t>
            </w:r>
          </w:p>
        </w:tc>
        <w:tc>
          <w:tcPr>
            <w:tcW w:type="dxa" w:w="1758"/>
          </w:tcPr>
          <w:p>
            <w:r>
              <w:t>[0.495, 0.522]</w:t>
            </w:r>
          </w:p>
        </w:tc>
        <w:tc>
          <w:tcPr>
            <w:tcW w:type="dxa" w:w="1758"/>
          </w:tcPr>
          <w:p>
            <w:r>
              <w:t>1.0</w:t>
            </w:r>
          </w:p>
        </w:tc>
      </w:tr>
      <w:tr>
        <w:tc>
          <w:tcPr>
            <w:tcW w:type="dxa" w:w="1758"/>
          </w:tcPr>
          <w:p>
            <w:r>
              <w:t>S2</w:t>
            </w:r>
          </w:p>
        </w:tc>
        <w:tc>
          <w:tcPr>
            <w:tcW w:type="dxa" w:w="1758"/>
          </w:tcPr>
          <w:p>
            <w:r>
              <w:t>B3</w:t>
            </w:r>
          </w:p>
        </w:tc>
        <w:tc>
          <w:tcPr>
            <w:tcW w:type="dxa" w:w="1758"/>
          </w:tcPr>
          <w:p>
            <w:r>
              <w:t>0.531</w:t>
            </w:r>
          </w:p>
        </w:tc>
        <w:tc>
          <w:tcPr>
            <w:tcW w:type="dxa" w:w="1758"/>
          </w:tcPr>
          <w:p>
            <w:r>
              <w:t>[0.520, 0.543]</w:t>
            </w:r>
          </w:p>
        </w:tc>
        <w:tc>
          <w:tcPr>
            <w:tcW w:type="dxa" w:w="1758"/>
          </w:tcPr>
          <w:p>
            <w:r>
              <w:t>1.4</w:t>
            </w:r>
          </w:p>
        </w:tc>
      </w:tr>
      <w:tr>
        <w:tc>
          <w:tcPr>
            <w:tcW w:type="dxa" w:w="1758"/>
          </w:tcPr>
          <w:p>
            <w:r>
              <w:t>S2</w:t>
            </w:r>
          </w:p>
        </w:tc>
        <w:tc>
          <w:tcPr>
            <w:tcW w:type="dxa" w:w="1758"/>
          </w:tcPr>
          <w:p>
            <w:r>
              <w:t>M0</w:t>
            </w:r>
          </w:p>
        </w:tc>
        <w:tc>
          <w:tcPr>
            <w:tcW w:type="dxa" w:w="1758"/>
          </w:tcPr>
          <w:p>
            <w:r>
              <w:t>0.546</w:t>
            </w:r>
          </w:p>
        </w:tc>
        <w:tc>
          <w:tcPr>
            <w:tcW w:type="dxa" w:w="1758"/>
          </w:tcPr>
          <w:p>
            <w:r>
              <w:t>[0.540, 0.551]</w:t>
            </w:r>
          </w:p>
        </w:tc>
        <w:tc>
          <w:tcPr>
            <w:tcW w:type="dxa" w:w="1758"/>
          </w:tcPr>
          <w:p>
            <w:r>
              <w:t>3.2</w:t>
            </w:r>
          </w:p>
        </w:tc>
      </w:tr>
      <w:tr>
        <w:tc>
          <w:tcPr>
            <w:tcW w:type="dxa" w:w="1758"/>
          </w:tcPr>
          <w:p>
            <w:r>
              <w:t>S2</w:t>
            </w:r>
          </w:p>
        </w:tc>
        <w:tc>
          <w:tcPr>
            <w:tcW w:type="dxa" w:w="1758"/>
          </w:tcPr>
          <w:p>
            <w:r>
              <w:t>M1</w:t>
            </w:r>
          </w:p>
        </w:tc>
        <w:tc>
          <w:tcPr>
            <w:tcW w:type="dxa" w:w="1758"/>
          </w:tcPr>
          <w:p>
            <w:r>
              <w:t>0.546</w:t>
            </w:r>
          </w:p>
        </w:tc>
        <w:tc>
          <w:tcPr>
            <w:tcW w:type="dxa" w:w="1758"/>
          </w:tcPr>
          <w:p>
            <w:r>
              <w:t>[0.541, 0.551]</w:t>
            </w:r>
          </w:p>
        </w:tc>
        <w:tc>
          <w:tcPr>
            <w:tcW w:type="dxa" w:w="1758"/>
          </w:tcPr>
          <w:p>
            <w:r>
              <w:t>3.4</w:t>
            </w:r>
          </w:p>
        </w:tc>
      </w:tr>
      <w:tr>
        <w:tc>
          <w:tcPr>
            <w:tcW w:type="dxa" w:w="1758"/>
          </w:tcPr>
          <w:p>
            <w:r>
              <w:t>S3</w:t>
            </w:r>
          </w:p>
        </w:tc>
        <w:tc>
          <w:tcPr>
            <w:tcW w:type="dxa" w:w="1758"/>
          </w:tcPr>
          <w:p>
            <w:r>
              <w:t>B0</w:t>
            </w:r>
          </w:p>
        </w:tc>
        <w:tc>
          <w:tcPr>
            <w:tcW w:type="dxa" w:w="1758"/>
          </w:tcPr>
          <w:p>
            <w:r>
              <w:t>0.534</w:t>
            </w:r>
          </w:p>
        </w:tc>
        <w:tc>
          <w:tcPr>
            <w:tcW w:type="dxa" w:w="1758"/>
          </w:tcPr>
          <w:p>
            <w:r>
              <w:t>[0.527, 0.541]</w:t>
            </w:r>
          </w:p>
        </w:tc>
        <w:tc>
          <w:tcPr>
            <w:tcW w:type="dxa" w:w="1758"/>
          </w:tcPr>
          <w:p>
            <w:r>
              <w:t>0.0</w:t>
            </w:r>
          </w:p>
        </w:tc>
      </w:tr>
      <w:tr>
        <w:tc>
          <w:tcPr>
            <w:tcW w:type="dxa" w:w="1758"/>
          </w:tcPr>
          <w:p>
            <w:r>
              <w:t>S3</w:t>
            </w:r>
          </w:p>
        </w:tc>
        <w:tc>
          <w:tcPr>
            <w:tcW w:type="dxa" w:w="1758"/>
          </w:tcPr>
          <w:p>
            <w:r>
              <w:t>B1</w:t>
            </w:r>
          </w:p>
        </w:tc>
        <w:tc>
          <w:tcPr>
            <w:tcW w:type="dxa" w:w="1758"/>
          </w:tcPr>
          <w:p>
            <w:r>
              <w:t>0.544</w:t>
            </w:r>
          </w:p>
        </w:tc>
        <w:tc>
          <w:tcPr>
            <w:tcW w:type="dxa" w:w="1758"/>
          </w:tcPr>
          <w:p>
            <w:r>
              <w:t>[0.541, 0.548]</w:t>
            </w:r>
          </w:p>
        </w:tc>
        <w:tc>
          <w:tcPr>
            <w:tcW w:type="dxa" w:w="1758"/>
          </w:tcPr>
          <w:p>
            <w:r>
              <w:t>6.0</w:t>
            </w:r>
          </w:p>
        </w:tc>
      </w:tr>
      <w:tr>
        <w:tc>
          <w:tcPr>
            <w:tcW w:type="dxa" w:w="1758"/>
          </w:tcPr>
          <w:p>
            <w:r>
              <w:t>S3</w:t>
            </w:r>
          </w:p>
        </w:tc>
        <w:tc>
          <w:tcPr>
            <w:tcW w:type="dxa" w:w="1758"/>
          </w:tcPr>
          <w:p>
            <w:r>
              <w:t>B2</w:t>
            </w:r>
          </w:p>
        </w:tc>
        <w:tc>
          <w:tcPr>
            <w:tcW w:type="dxa" w:w="1758"/>
          </w:tcPr>
          <w:p>
            <w:r>
              <w:t>0.553</w:t>
            </w:r>
          </w:p>
        </w:tc>
        <w:tc>
          <w:tcPr>
            <w:tcW w:type="dxa" w:w="1758"/>
          </w:tcPr>
          <w:p>
            <w:r>
              <w:t>[0.550, 0.556]</w:t>
            </w:r>
          </w:p>
        </w:tc>
        <w:tc>
          <w:tcPr>
            <w:tcW w:type="dxa" w:w="1758"/>
          </w:tcPr>
          <w:p>
            <w:r>
              <w:t>2.0</w:t>
            </w:r>
          </w:p>
        </w:tc>
      </w:tr>
      <w:tr>
        <w:tc>
          <w:tcPr>
            <w:tcW w:type="dxa" w:w="1758"/>
          </w:tcPr>
          <w:p>
            <w:r>
              <w:t>S3</w:t>
            </w:r>
          </w:p>
        </w:tc>
        <w:tc>
          <w:tcPr>
            <w:tcW w:type="dxa" w:w="1758"/>
          </w:tcPr>
          <w:p>
            <w:r>
              <w:t>B3</w:t>
            </w:r>
          </w:p>
        </w:tc>
        <w:tc>
          <w:tcPr>
            <w:tcW w:type="dxa" w:w="1758"/>
          </w:tcPr>
          <w:p>
            <w:r>
              <w:t>0.553</w:t>
            </w:r>
          </w:p>
        </w:tc>
        <w:tc>
          <w:tcPr>
            <w:tcW w:type="dxa" w:w="1758"/>
          </w:tcPr>
          <w:p>
            <w:r>
              <w:t>[0.548, 0.558]</w:t>
            </w:r>
          </w:p>
        </w:tc>
        <w:tc>
          <w:tcPr>
            <w:tcW w:type="dxa" w:w="1758"/>
          </w:tcPr>
          <w:p>
            <w:r>
              <w:t>1.4</w:t>
            </w:r>
          </w:p>
        </w:tc>
      </w:tr>
      <w:tr>
        <w:tc>
          <w:tcPr>
            <w:tcW w:type="dxa" w:w="1758"/>
          </w:tcPr>
          <w:p>
            <w:r>
              <w:t>S3</w:t>
            </w:r>
          </w:p>
        </w:tc>
        <w:tc>
          <w:tcPr>
            <w:tcW w:type="dxa" w:w="1758"/>
          </w:tcPr>
          <w:p>
            <w:r>
              <w:t>M0</w:t>
            </w:r>
          </w:p>
        </w:tc>
        <w:tc>
          <w:tcPr>
            <w:tcW w:type="dxa" w:w="1758"/>
          </w:tcPr>
          <w:p>
            <w:r>
              <w:t>0.548</w:t>
            </w:r>
          </w:p>
        </w:tc>
        <w:tc>
          <w:tcPr>
            <w:tcW w:type="dxa" w:w="1758"/>
          </w:tcPr>
          <w:p>
            <w:r>
              <w:t>[0.544, 0.552]</w:t>
            </w:r>
          </w:p>
        </w:tc>
        <w:tc>
          <w:tcPr>
            <w:tcW w:type="dxa" w:w="1758"/>
          </w:tcPr>
          <w:p>
            <w:r>
              <w:t>2.3</w:t>
            </w:r>
          </w:p>
        </w:tc>
      </w:tr>
      <w:tr>
        <w:tc>
          <w:tcPr>
            <w:tcW w:type="dxa" w:w="1758"/>
          </w:tcPr>
          <w:p>
            <w:r>
              <w:t>S3</w:t>
            </w:r>
          </w:p>
        </w:tc>
        <w:tc>
          <w:tcPr>
            <w:tcW w:type="dxa" w:w="1758"/>
          </w:tcPr>
          <w:p>
            <w:r>
              <w:t>M1</w:t>
            </w:r>
          </w:p>
        </w:tc>
        <w:tc>
          <w:tcPr>
            <w:tcW w:type="dxa" w:w="1758"/>
          </w:tcPr>
          <w:p>
            <w:r>
              <w:t>0.551</w:t>
            </w:r>
          </w:p>
        </w:tc>
        <w:tc>
          <w:tcPr>
            <w:tcW w:type="dxa" w:w="1758"/>
          </w:tcPr>
          <w:p>
            <w:r>
              <w:t>[0.547, 0.555]</w:t>
            </w:r>
          </w:p>
        </w:tc>
        <w:tc>
          <w:tcPr>
            <w:tcW w:type="dxa" w:w="1758"/>
          </w:tcPr>
          <w:p>
            <w:r>
              <w:t>2.2</w:t>
            </w:r>
          </w:p>
        </w:tc>
      </w:tr>
      <w:tr>
        <w:tc>
          <w:tcPr>
            <w:tcW w:type="dxa" w:w="1758"/>
          </w:tcPr>
          <w:p>
            <w:r>
              <w:t>S4</w:t>
            </w:r>
          </w:p>
        </w:tc>
        <w:tc>
          <w:tcPr>
            <w:tcW w:type="dxa" w:w="1758"/>
          </w:tcPr>
          <w:p>
            <w:r>
              <w:t>B0</w:t>
            </w:r>
          </w:p>
        </w:tc>
        <w:tc>
          <w:tcPr>
            <w:tcW w:type="dxa" w:w="1758"/>
          </w:tcPr>
          <w:p>
            <w:r>
              <w:t>0.163</w:t>
            </w:r>
          </w:p>
        </w:tc>
        <w:tc>
          <w:tcPr>
            <w:tcW w:type="dxa" w:w="1758"/>
          </w:tcPr>
          <w:p>
            <w:r>
              <w:t>[0.159, 0.166]</w:t>
            </w:r>
          </w:p>
        </w:tc>
        <w:tc>
          <w:tcPr>
            <w:tcW w:type="dxa" w:w="1758"/>
          </w:tcPr>
          <w:p>
            <w:r>
              <w:t>0.0</w:t>
            </w:r>
          </w:p>
        </w:tc>
      </w:tr>
      <w:tr>
        <w:tc>
          <w:tcPr>
            <w:tcW w:type="dxa" w:w="1758"/>
          </w:tcPr>
          <w:p>
            <w:r>
              <w:t>S4</w:t>
            </w:r>
          </w:p>
        </w:tc>
        <w:tc>
          <w:tcPr>
            <w:tcW w:type="dxa" w:w="1758"/>
          </w:tcPr>
          <w:p>
            <w:r>
              <w:t>B1</w:t>
            </w:r>
          </w:p>
        </w:tc>
        <w:tc>
          <w:tcPr>
            <w:tcW w:type="dxa" w:w="1758"/>
          </w:tcPr>
          <w:p>
            <w:r>
              <w:t>0.506</w:t>
            </w:r>
          </w:p>
        </w:tc>
        <w:tc>
          <w:tcPr>
            <w:tcW w:type="dxa" w:w="1758"/>
          </w:tcPr>
          <w:p>
            <w:r>
              <w:t>[0.503, 0.510]</w:t>
            </w:r>
          </w:p>
        </w:tc>
        <w:tc>
          <w:tcPr>
            <w:tcW w:type="dxa" w:w="1758"/>
          </w:tcPr>
          <w:p>
            <w:r>
              <w:t>6.0</w:t>
            </w:r>
          </w:p>
        </w:tc>
      </w:tr>
      <w:tr>
        <w:tc>
          <w:tcPr>
            <w:tcW w:type="dxa" w:w="1758"/>
          </w:tcPr>
          <w:p>
            <w:r>
              <w:t>S4</w:t>
            </w:r>
          </w:p>
        </w:tc>
        <w:tc>
          <w:tcPr>
            <w:tcW w:type="dxa" w:w="1758"/>
          </w:tcPr>
          <w:p>
            <w:r>
              <w:t>B2</w:t>
            </w:r>
          </w:p>
        </w:tc>
        <w:tc>
          <w:tcPr>
            <w:tcW w:type="dxa" w:w="1758"/>
          </w:tcPr>
          <w:p>
            <w:r>
              <w:t>0.234</w:t>
            </w:r>
          </w:p>
        </w:tc>
        <w:tc>
          <w:tcPr>
            <w:tcW w:type="dxa" w:w="1758"/>
          </w:tcPr>
          <w:p>
            <w:r>
              <w:t>[0.223, 0.244]</w:t>
            </w:r>
          </w:p>
        </w:tc>
        <w:tc>
          <w:tcPr>
            <w:tcW w:type="dxa" w:w="1758"/>
          </w:tcPr>
          <w:p>
            <w:r>
              <w:t>1.0</w:t>
            </w:r>
          </w:p>
        </w:tc>
      </w:tr>
      <w:tr>
        <w:tc>
          <w:tcPr>
            <w:tcW w:type="dxa" w:w="1758"/>
          </w:tcPr>
          <w:p>
            <w:r>
              <w:t>S4</w:t>
            </w:r>
          </w:p>
        </w:tc>
        <w:tc>
          <w:tcPr>
            <w:tcW w:type="dxa" w:w="1758"/>
          </w:tcPr>
          <w:p>
            <w:r>
              <w:t>B3</w:t>
            </w:r>
          </w:p>
        </w:tc>
        <w:tc>
          <w:tcPr>
            <w:tcW w:type="dxa" w:w="1758"/>
          </w:tcPr>
          <w:p>
            <w:r>
              <w:t>0.391</w:t>
            </w:r>
          </w:p>
        </w:tc>
        <w:tc>
          <w:tcPr>
            <w:tcW w:type="dxa" w:w="1758"/>
          </w:tcPr>
          <w:p>
            <w:r>
              <w:t>[0.322, 0.460]</w:t>
            </w:r>
          </w:p>
        </w:tc>
        <w:tc>
          <w:tcPr>
            <w:tcW w:type="dxa" w:w="1758"/>
          </w:tcPr>
          <w:p>
            <w:r>
              <w:t>3.0</w:t>
            </w:r>
          </w:p>
        </w:tc>
      </w:tr>
      <w:tr>
        <w:tc>
          <w:tcPr>
            <w:tcW w:type="dxa" w:w="1758"/>
          </w:tcPr>
          <w:p>
            <w:r>
              <w:t>S4</w:t>
            </w:r>
          </w:p>
        </w:tc>
        <w:tc>
          <w:tcPr>
            <w:tcW w:type="dxa" w:w="1758"/>
          </w:tcPr>
          <w:p>
            <w:r>
              <w:t>M0</w:t>
            </w:r>
          </w:p>
        </w:tc>
        <w:tc>
          <w:tcPr>
            <w:tcW w:type="dxa" w:w="1758"/>
          </w:tcPr>
          <w:p>
            <w:r>
              <w:t>0.163</w:t>
            </w:r>
          </w:p>
        </w:tc>
        <w:tc>
          <w:tcPr>
            <w:tcW w:type="dxa" w:w="1758"/>
          </w:tcPr>
          <w:p>
            <w:r>
              <w:t>[0.159, 0.166]</w:t>
            </w:r>
          </w:p>
        </w:tc>
        <w:tc>
          <w:tcPr>
            <w:tcW w:type="dxa" w:w="1758"/>
          </w:tcPr>
          <w:p>
            <w:r>
              <w:t>0.0</w:t>
            </w:r>
          </w:p>
        </w:tc>
      </w:tr>
      <w:tr>
        <w:tc>
          <w:tcPr>
            <w:tcW w:type="dxa" w:w="1758"/>
          </w:tcPr>
          <w:p>
            <w:r>
              <w:t>S4</w:t>
            </w:r>
          </w:p>
        </w:tc>
        <w:tc>
          <w:tcPr>
            <w:tcW w:type="dxa" w:w="1758"/>
          </w:tcPr>
          <w:p>
            <w:r>
              <w:t>M1</w:t>
            </w:r>
          </w:p>
        </w:tc>
        <w:tc>
          <w:tcPr>
            <w:tcW w:type="dxa" w:w="1758"/>
          </w:tcPr>
          <w:p>
            <w:r>
              <w:t>0.415</w:t>
            </w:r>
          </w:p>
        </w:tc>
        <w:tc>
          <w:tcPr>
            <w:tcW w:type="dxa" w:w="1758"/>
          </w:tcPr>
          <w:p>
            <w:r>
              <w:t>[0.331, 0.499]</w:t>
            </w:r>
          </w:p>
        </w:tc>
        <w:tc>
          <w:tcPr>
            <w:tcW w:type="dxa" w:w="1758"/>
          </w:tcPr>
          <w:p>
            <w:r>
              <w:t>3.8</w:t>
            </w:r>
          </w:p>
        </w:tc>
      </w:tr>
      <w:tr>
        <w:tc>
          <w:tcPr>
            <w:tcW w:type="dxa" w:w="1758"/>
          </w:tcPr>
          <w:p>
            <w:r>
              <w:t>S5</w:t>
            </w:r>
          </w:p>
        </w:tc>
        <w:tc>
          <w:tcPr>
            <w:tcW w:type="dxa" w:w="1758"/>
          </w:tcPr>
          <w:p>
            <w:r>
              <w:t>B0</w:t>
            </w:r>
          </w:p>
        </w:tc>
        <w:tc>
          <w:tcPr>
            <w:tcW w:type="dxa" w:w="1758"/>
          </w:tcPr>
          <w:p>
            <w:r>
              <w:t>0.163</w:t>
            </w:r>
          </w:p>
        </w:tc>
        <w:tc>
          <w:tcPr>
            <w:tcW w:type="dxa" w:w="1758"/>
          </w:tcPr>
          <w:p>
            <w:r>
              <w:t>[0.158, 0.167]</w:t>
            </w:r>
          </w:p>
        </w:tc>
        <w:tc>
          <w:tcPr>
            <w:tcW w:type="dxa" w:w="1758"/>
          </w:tcPr>
          <w:p>
            <w:r>
              <w:t>0.0</w:t>
            </w:r>
          </w:p>
        </w:tc>
      </w:tr>
      <w:tr>
        <w:tc>
          <w:tcPr>
            <w:tcW w:type="dxa" w:w="1758"/>
          </w:tcPr>
          <w:p>
            <w:r>
              <w:t>S5</w:t>
            </w:r>
          </w:p>
        </w:tc>
        <w:tc>
          <w:tcPr>
            <w:tcW w:type="dxa" w:w="1758"/>
          </w:tcPr>
          <w:p>
            <w:r>
              <w:t>B1</w:t>
            </w:r>
          </w:p>
        </w:tc>
        <w:tc>
          <w:tcPr>
            <w:tcW w:type="dxa" w:w="1758"/>
          </w:tcPr>
          <w:p>
            <w:r>
              <w:t>0.499</w:t>
            </w:r>
          </w:p>
        </w:tc>
        <w:tc>
          <w:tcPr>
            <w:tcW w:type="dxa" w:w="1758"/>
          </w:tcPr>
          <w:p>
            <w:r>
              <w:t>[0.495, 0.503]</w:t>
            </w:r>
          </w:p>
        </w:tc>
        <w:tc>
          <w:tcPr>
            <w:tcW w:type="dxa" w:w="1758"/>
          </w:tcPr>
          <w:p>
            <w:r>
              <w:t>6.0</w:t>
            </w:r>
          </w:p>
        </w:tc>
      </w:tr>
      <w:tr>
        <w:tc>
          <w:tcPr>
            <w:tcW w:type="dxa" w:w="1758"/>
          </w:tcPr>
          <w:p>
            <w:r>
              <w:t>S5</w:t>
            </w:r>
          </w:p>
        </w:tc>
        <w:tc>
          <w:tcPr>
            <w:tcW w:type="dxa" w:w="1758"/>
          </w:tcPr>
          <w:p>
            <w:r>
              <w:t>B2</w:t>
            </w:r>
          </w:p>
        </w:tc>
        <w:tc>
          <w:tcPr>
            <w:tcW w:type="dxa" w:w="1758"/>
          </w:tcPr>
          <w:p>
            <w:r>
              <w:t>0.378</w:t>
            </w:r>
          </w:p>
        </w:tc>
        <w:tc>
          <w:tcPr>
            <w:tcW w:type="dxa" w:w="1758"/>
          </w:tcPr>
          <w:p>
            <w:r>
              <w:t>[0.369, 0.387]</w:t>
            </w:r>
          </w:p>
        </w:tc>
        <w:tc>
          <w:tcPr>
            <w:tcW w:type="dxa" w:w="1758"/>
          </w:tcPr>
          <w:p>
            <w:r>
              <w:t>1.0</w:t>
            </w:r>
          </w:p>
        </w:tc>
      </w:tr>
      <w:tr>
        <w:tc>
          <w:tcPr>
            <w:tcW w:type="dxa" w:w="1758"/>
          </w:tcPr>
          <w:p>
            <w:r>
              <w:t>S5</w:t>
            </w:r>
          </w:p>
        </w:tc>
        <w:tc>
          <w:tcPr>
            <w:tcW w:type="dxa" w:w="1758"/>
          </w:tcPr>
          <w:p>
            <w:r>
              <w:t>B3</w:t>
            </w:r>
          </w:p>
        </w:tc>
        <w:tc>
          <w:tcPr>
            <w:tcW w:type="dxa" w:w="1758"/>
          </w:tcPr>
          <w:p>
            <w:r>
              <w:t>0.507</w:t>
            </w:r>
          </w:p>
        </w:tc>
        <w:tc>
          <w:tcPr>
            <w:tcW w:type="dxa" w:w="1758"/>
          </w:tcPr>
          <w:p>
            <w:r>
              <w:t>[0.502, 0.513]</w:t>
            </w:r>
          </w:p>
        </w:tc>
        <w:tc>
          <w:tcPr>
            <w:tcW w:type="dxa" w:w="1758"/>
          </w:tcPr>
          <w:p>
            <w:r>
              <w:t>4.0</w:t>
            </w:r>
          </w:p>
        </w:tc>
      </w:tr>
      <w:tr>
        <w:tc>
          <w:tcPr>
            <w:tcW w:type="dxa" w:w="1758"/>
          </w:tcPr>
          <w:p>
            <w:r>
              <w:t>S5</w:t>
            </w:r>
          </w:p>
        </w:tc>
        <w:tc>
          <w:tcPr>
            <w:tcW w:type="dxa" w:w="1758"/>
          </w:tcPr>
          <w:p>
            <w:r>
              <w:t>M0</w:t>
            </w:r>
          </w:p>
        </w:tc>
        <w:tc>
          <w:tcPr>
            <w:tcW w:type="dxa" w:w="1758"/>
          </w:tcPr>
          <w:p>
            <w:r>
              <w:t>0.408</w:t>
            </w:r>
          </w:p>
        </w:tc>
        <w:tc>
          <w:tcPr>
            <w:tcW w:type="dxa" w:w="1758"/>
          </w:tcPr>
          <w:p>
            <w:r>
              <w:t>[0.367, 0.449]</w:t>
            </w:r>
          </w:p>
        </w:tc>
        <w:tc>
          <w:tcPr>
            <w:tcW w:type="dxa" w:w="1758"/>
          </w:tcPr>
          <w:p>
            <w:r>
              <w:t>1.4</w:t>
            </w:r>
          </w:p>
        </w:tc>
      </w:tr>
      <w:tr>
        <w:tc>
          <w:tcPr>
            <w:tcW w:type="dxa" w:w="1758"/>
          </w:tcPr>
          <w:p>
            <w:r>
              <w:t>S5</w:t>
            </w:r>
          </w:p>
        </w:tc>
        <w:tc>
          <w:tcPr>
            <w:tcW w:type="dxa" w:w="1758"/>
          </w:tcPr>
          <w:p>
            <w:r>
              <w:t>M1</w:t>
            </w:r>
          </w:p>
        </w:tc>
        <w:tc>
          <w:tcPr>
            <w:tcW w:type="dxa" w:w="1758"/>
          </w:tcPr>
          <w:p>
            <w:r>
              <w:t>0.514</w:t>
            </w:r>
          </w:p>
        </w:tc>
        <w:tc>
          <w:tcPr>
            <w:tcW w:type="dxa" w:w="1758"/>
          </w:tcPr>
          <w:p>
            <w:r>
              <w:t>[0.504, 0.524]</w:t>
            </w:r>
          </w:p>
        </w:tc>
        <w:tc>
          <w:tcPr>
            <w:tcW w:type="dxa" w:w="1758"/>
          </w:tcPr>
          <w:p>
            <w:r>
              <w:t>4.2</w:t>
            </w:r>
          </w:p>
        </w:tc>
      </w:tr>
      <w:tr>
        <w:tc>
          <w:tcPr>
            <w:tcW w:type="dxa" w:w="1758"/>
          </w:tcPr>
          <w:p>
            <w:r>
              <w:t>S6</w:t>
            </w:r>
          </w:p>
        </w:tc>
        <w:tc>
          <w:tcPr>
            <w:tcW w:type="dxa" w:w="1758"/>
          </w:tcPr>
          <w:p>
            <w:r>
              <w:t>B0</w:t>
            </w:r>
          </w:p>
        </w:tc>
        <w:tc>
          <w:tcPr>
            <w:tcW w:type="dxa" w:w="1758"/>
          </w:tcPr>
          <w:p>
            <w:r>
              <w:t>0.581</w:t>
            </w:r>
          </w:p>
        </w:tc>
        <w:tc>
          <w:tcPr>
            <w:tcW w:type="dxa" w:w="1758"/>
          </w:tcPr>
          <w:p>
            <w:r>
              <w:t>[0.573, 0.590]</w:t>
            </w:r>
          </w:p>
        </w:tc>
        <w:tc>
          <w:tcPr>
            <w:tcW w:type="dxa" w:w="1758"/>
          </w:tcPr>
          <w:p>
            <w:r>
              <w:t>0.0</w:t>
            </w:r>
          </w:p>
        </w:tc>
      </w:tr>
      <w:tr>
        <w:tc>
          <w:tcPr>
            <w:tcW w:type="dxa" w:w="1758"/>
          </w:tcPr>
          <w:p>
            <w:r>
              <w:t>S6</w:t>
            </w:r>
          </w:p>
        </w:tc>
        <w:tc>
          <w:tcPr>
            <w:tcW w:type="dxa" w:w="1758"/>
          </w:tcPr>
          <w:p>
            <w:r>
              <w:t>B1</w:t>
            </w:r>
          </w:p>
        </w:tc>
        <w:tc>
          <w:tcPr>
            <w:tcW w:type="dxa" w:w="1758"/>
          </w:tcPr>
          <w:p>
            <w:r>
              <w:t>0.583</w:t>
            </w:r>
          </w:p>
        </w:tc>
        <w:tc>
          <w:tcPr>
            <w:tcW w:type="dxa" w:w="1758"/>
          </w:tcPr>
          <w:p>
            <w:r>
              <w:t>[0.577, 0.590]</w:t>
            </w:r>
          </w:p>
        </w:tc>
        <w:tc>
          <w:tcPr>
            <w:tcW w:type="dxa" w:w="1758"/>
          </w:tcPr>
          <w:p>
            <w:r>
              <w:t>6.0</w:t>
            </w:r>
          </w:p>
        </w:tc>
      </w:tr>
      <w:tr>
        <w:tc>
          <w:tcPr>
            <w:tcW w:type="dxa" w:w="1758"/>
          </w:tcPr>
          <w:p>
            <w:r>
              <w:t>S6</w:t>
            </w:r>
          </w:p>
        </w:tc>
        <w:tc>
          <w:tcPr>
            <w:tcW w:type="dxa" w:w="1758"/>
          </w:tcPr>
          <w:p>
            <w:r>
              <w:t>B2</w:t>
            </w:r>
          </w:p>
        </w:tc>
        <w:tc>
          <w:tcPr>
            <w:tcW w:type="dxa" w:w="1758"/>
          </w:tcPr>
          <w:p>
            <w:r>
              <w:t>0.581</w:t>
            </w:r>
          </w:p>
        </w:tc>
        <w:tc>
          <w:tcPr>
            <w:tcW w:type="dxa" w:w="1758"/>
          </w:tcPr>
          <w:p>
            <w:r>
              <w:t>[0.573, 0.590]</w:t>
            </w:r>
          </w:p>
        </w:tc>
        <w:tc>
          <w:tcPr>
            <w:tcW w:type="dxa" w:w="1758"/>
          </w:tcPr>
          <w:p>
            <w:r>
              <w:t>0.0</w:t>
            </w:r>
          </w:p>
        </w:tc>
      </w:tr>
      <w:tr>
        <w:tc>
          <w:tcPr>
            <w:tcW w:type="dxa" w:w="1758"/>
          </w:tcPr>
          <w:p>
            <w:r>
              <w:t>S6</w:t>
            </w:r>
          </w:p>
        </w:tc>
        <w:tc>
          <w:tcPr>
            <w:tcW w:type="dxa" w:w="1758"/>
          </w:tcPr>
          <w:p>
            <w:r>
              <w:t>B3</w:t>
            </w:r>
          </w:p>
        </w:tc>
        <w:tc>
          <w:tcPr>
            <w:tcW w:type="dxa" w:w="1758"/>
          </w:tcPr>
          <w:p>
            <w:r>
              <w:t>0.581</w:t>
            </w:r>
          </w:p>
        </w:tc>
        <w:tc>
          <w:tcPr>
            <w:tcW w:type="dxa" w:w="1758"/>
          </w:tcPr>
          <w:p>
            <w:r>
              <w:t>[0.573, 0.590]</w:t>
            </w:r>
          </w:p>
        </w:tc>
        <w:tc>
          <w:tcPr>
            <w:tcW w:type="dxa" w:w="1758"/>
          </w:tcPr>
          <w:p>
            <w:r>
              <w:t>0.2</w:t>
            </w:r>
          </w:p>
        </w:tc>
      </w:tr>
      <w:tr>
        <w:tc>
          <w:tcPr>
            <w:tcW w:type="dxa" w:w="1758"/>
          </w:tcPr>
          <w:p>
            <w:r>
              <w:t>S6</w:t>
            </w:r>
          </w:p>
        </w:tc>
        <w:tc>
          <w:tcPr>
            <w:tcW w:type="dxa" w:w="1758"/>
          </w:tcPr>
          <w:p>
            <w:r>
              <w:t>M0</w:t>
            </w:r>
          </w:p>
        </w:tc>
        <w:tc>
          <w:tcPr>
            <w:tcW w:type="dxa" w:w="1758"/>
          </w:tcPr>
          <w:p>
            <w:r>
              <w:t>0.581</w:t>
            </w:r>
          </w:p>
        </w:tc>
        <w:tc>
          <w:tcPr>
            <w:tcW w:type="dxa" w:w="1758"/>
          </w:tcPr>
          <w:p>
            <w:r>
              <w:t>[0.573, 0.590]</w:t>
            </w:r>
          </w:p>
        </w:tc>
        <w:tc>
          <w:tcPr>
            <w:tcW w:type="dxa" w:w="1758"/>
          </w:tcPr>
          <w:p>
            <w:r>
              <w:t>0.0</w:t>
            </w:r>
          </w:p>
        </w:tc>
      </w:tr>
      <w:tr>
        <w:tc>
          <w:tcPr>
            <w:tcW w:type="dxa" w:w="1758"/>
          </w:tcPr>
          <w:p>
            <w:r>
              <w:t>S6</w:t>
            </w:r>
          </w:p>
        </w:tc>
        <w:tc>
          <w:tcPr>
            <w:tcW w:type="dxa" w:w="1758"/>
          </w:tcPr>
          <w:p>
            <w:r>
              <w:t>M1</w:t>
            </w:r>
          </w:p>
        </w:tc>
        <w:tc>
          <w:tcPr>
            <w:tcW w:type="dxa" w:w="1758"/>
          </w:tcPr>
          <w:p>
            <w:r>
              <w:t>0.582</w:t>
            </w:r>
          </w:p>
        </w:tc>
        <w:tc>
          <w:tcPr>
            <w:tcW w:type="dxa" w:w="1758"/>
          </w:tcPr>
          <w:p>
            <w:r>
              <w:t>[0.573, 0.590]</w:t>
            </w:r>
          </w:p>
        </w:tc>
        <w:tc>
          <w:tcPr>
            <w:tcW w:type="dxa" w:w="1758"/>
          </w:tcPr>
          <w:p>
            <w:r>
              <w:t>0.3</w:t>
            </w:r>
          </w:p>
        </w:tc>
      </w:tr>
    </w:tbl>
    <w:p>
      <w:r>
        <w:rPr>
          <w:b/>
        </w:rPr>
        <w:t>13.3 Ablation, failure analysis, sensitivity, false alarms</w:t>
      </w:r>
    </w:p>
    <w:p>
      <w:r>
        <w:drawing>
          <wp:inline xmlns:a="http://schemas.openxmlformats.org/drawingml/2006/main" xmlns:pic="http://schemas.openxmlformats.org/drawingml/2006/picture">
            <wp:extent cx="5486400" cy="2743200"/>
            <wp:docPr id="16" name="Picture 16"/>
            <wp:cNvGraphicFramePr>
              <a:graphicFrameLocks noChangeAspect="1"/>
            </wp:cNvGraphicFramePr>
            <a:graphic>
              <a:graphicData uri="http://schemas.openxmlformats.org/drawingml/2006/picture">
                <pic:pic>
                  <pic:nvPicPr>
                    <pic:cNvPr id="0" name="performance_over_time_s1_moderate.png"/>
                    <pic:cNvPicPr/>
                  </pic:nvPicPr>
                  <pic:blipFill>
                    <a:blip r:embed="rId24"/>
                    <a:stretch>
                      <a:fillRect/>
                    </a:stretch>
                  </pic:blipFill>
                  <pic:spPr>
                    <a:xfrm>
                      <a:off x="0" y="0"/>
                      <a:ext cx="5486400" cy="2743200"/>
                    </a:xfrm>
                    <a:prstGeom prst="rect"/>
                  </pic:spPr>
                </pic:pic>
              </a:graphicData>
            </a:graphic>
          </wp:inline>
        </w:drawing>
      </w:r>
    </w:p>
    <w:p>
      <w:r>
        <w:t>Figure 5. Performance over time, S1 moderate.</w:t>
      </w:r>
    </w:p>
    <w:p>
      <w:r>
        <w:drawing>
          <wp:inline xmlns:a="http://schemas.openxmlformats.org/drawingml/2006/main" xmlns:pic="http://schemas.openxmlformats.org/drawingml/2006/picture">
            <wp:extent cx="5486400" cy="3918857"/>
            <wp:docPr id="17" name="Picture 17"/>
            <wp:cNvGraphicFramePr>
              <a:graphicFrameLocks noChangeAspect="1"/>
            </wp:cNvGraphicFramePr>
            <a:graphic>
              <a:graphicData uri="http://schemas.openxmlformats.org/drawingml/2006/picture">
                <pic:pic>
                  <pic:nvPicPr>
                    <pic:cNvPr id="0" name="detection_delay_vs_severity.png"/>
                    <pic:cNvPicPr/>
                  </pic:nvPicPr>
                  <pic:blipFill>
                    <a:blip r:embed="rId25"/>
                    <a:stretch>
                      <a:fillRect/>
                    </a:stretch>
                  </pic:blipFill>
                  <pic:spPr>
                    <a:xfrm>
                      <a:off x="0" y="0"/>
                      <a:ext cx="5486400" cy="3918857"/>
                    </a:xfrm>
                    <a:prstGeom prst="rect"/>
                  </pic:spPr>
                </pic:pic>
              </a:graphicData>
            </a:graphic>
          </wp:inline>
        </w:drawing>
      </w:r>
    </w:p>
    <w:p>
      <w:r>
        <w:t>Figure 6. Detection delay versus drift severity.</w:t>
      </w:r>
    </w:p>
    <w:p>
      <w:r>
        <w:drawing>
          <wp:inline xmlns:a="http://schemas.openxmlformats.org/drawingml/2006/main" xmlns:pic="http://schemas.openxmlformats.org/drawingml/2006/picture">
            <wp:extent cx="5486400" cy="4702629"/>
            <wp:docPr id="18" name="Picture 18"/>
            <wp:cNvGraphicFramePr>
              <a:graphicFrameLocks noChangeAspect="1"/>
            </wp:cNvGraphicFramePr>
            <a:graphic>
              <a:graphicData uri="http://schemas.openxmlformats.org/drawingml/2006/picture">
                <pic:pic>
                  <pic:nvPicPr>
                    <pic:cNvPr id="0" name="retrain_vs_recall.png"/>
                    <pic:cNvPicPr/>
                  </pic:nvPicPr>
                  <pic:blipFill>
                    <a:blip r:embed="rId26"/>
                    <a:stretch>
                      <a:fillRect/>
                    </a:stretch>
                  </pic:blipFill>
                  <pic:spPr>
                    <a:xfrm>
                      <a:off x="0" y="0"/>
                      <a:ext cx="5486400" cy="4702629"/>
                    </a:xfrm>
                    <a:prstGeom prst="rect"/>
                  </pic:spPr>
                </pic:pic>
              </a:graphicData>
            </a:graphic>
          </wp:inline>
        </w:drawing>
      </w:r>
    </w:p>
    <w:p>
      <w:r>
        <w:t>Figure 7. Retrain count versus time-averaged recall.</w:t>
      </w:r>
    </w:p>
    <w:p>
      <w:r>
        <w:drawing>
          <wp:inline xmlns:a="http://schemas.openxmlformats.org/drawingml/2006/main" xmlns:pic="http://schemas.openxmlformats.org/drawingml/2006/picture">
            <wp:extent cx="5486400" cy="2438400"/>
            <wp:docPr id="19" name="Picture 19"/>
            <wp:cNvGraphicFramePr>
              <a:graphicFrameLocks noChangeAspect="1"/>
            </wp:cNvGraphicFramePr>
            <a:graphic>
              <a:graphicData uri="http://schemas.openxmlformats.org/drawingml/2006/picture">
                <pic:pic>
                  <pic:nvPicPr>
                    <pic:cNvPr id="0" name="ablation_bars.png"/>
                    <pic:cNvPicPr/>
                  </pic:nvPicPr>
                  <pic:blipFill>
                    <a:blip r:embed="rId27"/>
                    <a:stretch>
                      <a:fillRect/>
                    </a:stretch>
                  </pic:blipFill>
                  <pic:spPr>
                    <a:xfrm>
                      <a:off x="0" y="0"/>
                      <a:ext cx="5486400" cy="2438400"/>
                    </a:xfrm>
                    <a:prstGeom prst="rect"/>
                  </pic:spPr>
                </pic:pic>
              </a:graphicData>
            </a:graphic>
          </wp:inline>
        </w:drawing>
      </w:r>
    </w:p>
    <w:p>
      <w:r>
        <w:t>Figure 8. Ablation: detection delay and false alarm rate by signal.</w:t>
      </w:r>
    </w:p>
    <w:p>
      <w:r>
        <w:drawing>
          <wp:inline xmlns:a="http://schemas.openxmlformats.org/drawingml/2006/main" xmlns:pic="http://schemas.openxmlformats.org/drawingml/2006/picture">
            <wp:extent cx="5486400" cy="3429000"/>
            <wp:docPr id="20" name="Picture 20"/>
            <wp:cNvGraphicFramePr>
              <a:graphicFrameLocks noChangeAspect="1"/>
            </wp:cNvGraphicFramePr>
            <a:graphic>
              <a:graphicData uri="http://schemas.openxmlformats.org/drawingml/2006/picture">
                <pic:pic>
                  <pic:nvPicPr>
                    <pic:cNvPr id="0" name="false_alarm_rates.png"/>
                    <pic:cNvPicPr/>
                  </pic:nvPicPr>
                  <pic:blipFill>
                    <a:blip r:embed="rId28"/>
                    <a:stretch>
                      <a:fillRect/>
                    </a:stretch>
                  </pic:blipFill>
                  <pic:spPr>
                    <a:xfrm>
                      <a:off x="0" y="0"/>
                      <a:ext cx="5486400" cy="3429000"/>
                    </a:xfrm>
                    <a:prstGeom prst="rect"/>
                  </pic:spPr>
                </pic:pic>
              </a:graphicData>
            </a:graphic>
          </wp:inline>
        </w:drawing>
      </w:r>
    </w:p>
    <w:p>
      <w:r>
        <w:t>Figure 9. False alarm rates, S0 and S6.</w:t>
      </w:r>
    </w:p>
    <w:p>
      <w:r>
        <w:drawing>
          <wp:inline xmlns:a="http://schemas.openxmlformats.org/drawingml/2006/main" xmlns:pic="http://schemas.openxmlformats.org/drawingml/2006/picture">
            <wp:extent cx="5486400" cy="3840480"/>
            <wp:docPr id="21" name="Picture 21"/>
            <wp:cNvGraphicFramePr>
              <a:graphicFrameLocks noChangeAspect="1"/>
            </wp:cNvGraphicFramePr>
            <a:graphic>
              <a:graphicData uri="http://schemas.openxmlformats.org/drawingml/2006/picture">
                <pic:pic>
                  <pic:nvPicPr>
                    <pic:cNvPr id="0" name="s4_failure.png"/>
                    <pic:cNvPicPr/>
                  </pic:nvPicPr>
                  <pic:blipFill>
                    <a:blip r:embed="rId29"/>
                    <a:stretch>
                      <a:fillRect/>
                    </a:stretch>
                  </pic:blipFill>
                  <pic:spPr>
                    <a:xfrm>
                      <a:off x="0" y="0"/>
                      <a:ext cx="5486400" cy="3840480"/>
                    </a:xfrm>
                    <a:prstGeom prst="rect"/>
                  </pic:spPr>
                </pic:pic>
              </a:graphicData>
            </a:graphic>
          </wp:inline>
        </w:drawing>
      </w:r>
    </w:p>
    <w:p>
      <w:r>
        <w:t>Figure 10. S4 failure figure: label-free evidence stays flat while performance collapses.</w:t>
      </w:r>
    </w:p>
    <w:p>
      <w:r>
        <w:t>Figure 5 shows performance over time on S1 moderate with M1's alarms and retrains marked. Figure 6 shows the label-free detection delay holding at 0 windows across every S1 severity. Figure 7 plots retrain count against time-averaged recall across all strategies and scenarios. Figure 8 is the ablation of input-only, score-only and combined evidence on detection delay and false alarm rate (H2). Figure 9 is the false alarm rate by strategy on the no-drift controls S0 and S6 (H5): it is where the one hypothesis that did not fully hold is visible directly, M1 and M1b sit above the PRD target line. Figure 10 is the S4 failure case (H4): label-free evidence stays at the edge of normal through the true onset and the backstop's own retrain, and only rises afterward, during the retrain's transition period, not as early detection of the original drift. Sensitivity sweeps over label delay D, schedule K and maturity m (P1) were not run in the time available; see docs/dev_log.md.</w:t>
      </w:r>
    </w:p>
    <w:p>
      <w:r>
        <w:rPr>
          <w:b/>
        </w:rPr>
        <w:t>13.4 Representative Data Simulation Files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929"/>
        <w:gridCol w:w="2929"/>
        <w:gridCol w:w="2929"/>
      </w:tblGrid>
      <w:tr>
        <w:tc>
          <w:tcPr>
            <w:tcW w:type="dxa" w:w="2929"/>
          </w:tcPr>
          <w:p>
            <w:r>
              <w:rPr>
                <w:b/>
              </w:rPr>
              <w:t>File / directory</w:t>
            </w:r>
          </w:p>
        </w:tc>
        <w:tc>
          <w:tcPr>
            <w:tcW w:type="dxa" w:w="2929"/>
          </w:tcPr>
          <w:p>
            <w:r>
              <w:rPr>
                <w:b/>
              </w:rPr>
              <w:t>Contents</w:t>
            </w:r>
          </w:p>
        </w:tc>
        <w:tc>
          <w:tcPr>
            <w:tcW w:type="dxa" w:w="2929"/>
          </w:tcPr>
          <w:p>
            <w:r>
              <w:rPr>
                <w:b/>
              </w:rPr>
              <w:t>Approx. size</w:t>
            </w:r>
          </w:p>
        </w:tc>
      </w:tr>
      <w:tr>
        <w:tc>
          <w:tcPr>
            <w:tcW w:type="dxa" w:w="2929"/>
          </w:tcPr>
          <w:p>
            <w:r>
              <w:t>`data/sim_samples/&lt;scenario&gt;_&lt;severity&gt;_seed0.npz`</w:t>
            </w:r>
          </w:p>
        </w:tc>
        <w:tc>
          <w:tcPr>
            <w:tcW w:type="dxa" w:w="2929"/>
          </w:tcPr>
          <w:p>
            <w:r>
              <w:t>A small representative sample per scenario (10 files: S0 through S7, S1 at all three severities): 8 fixed windows (reference, pre-onset, just-after-onset, mid-drift, late-drift) with a 300-transaction subsample each</w:t>
            </w:r>
          </w:p>
        </w:tc>
        <w:tc>
          <w:tcPr>
            <w:tcW w:type="dxa" w:w="2929"/>
          </w:tcPr>
          <w:p>
            <w:r>
              <w:t>About 166 KB per file</w:t>
            </w:r>
          </w:p>
        </w:tc>
      </w:tr>
      <w:tr>
        <w:tc>
          <w:tcPr>
            <w:tcW w:type="dxa" w:w="2929"/>
          </w:tcPr>
          <w:p>
            <w:r>
              <w:t>`data/sim_samples/events/&lt;scenario&gt;_&lt;severity&gt;.json`</w:t>
            </w:r>
          </w:p>
        </w:tc>
        <w:tc>
          <w:tcPr>
            <w:tcW w:type="dxa" w:w="2929"/>
          </w:tcPr>
          <w:p>
            <w:r>
              <w:t>Ground truth drift event times (onset/offset windows, drift type) for the matching sample</w:t>
            </w:r>
          </w:p>
        </w:tc>
        <w:tc>
          <w:tcPr>
            <w:tcW w:type="dxa" w:w="2929"/>
          </w:tcPr>
          <w:p>
            <w:r>
              <w:t>A few KB each</w:t>
            </w:r>
          </w:p>
        </w:tc>
      </w:tr>
      <w:tr>
        <w:tc>
          <w:tcPr>
            <w:tcW w:type="dxa" w:w="2929"/>
          </w:tcPr>
          <w:p>
            <w:r>
              <w:t>`results/per_window_log.csv.gz`</w:t>
            </w:r>
          </w:p>
        </w:tc>
        <w:tc>
          <w:tcPr>
            <w:tcW w:type="dxa" w:w="2929"/>
          </w:tcPr>
          <w:p>
            <w:r>
              <w:t>One row per (scenario, severity, seed, strategy, window): AP, recall, evidence values, alarm flags, retrain flags, from the main run</w:t>
            </w:r>
          </w:p>
        </w:tc>
        <w:tc>
          <w:tcPr>
            <w:tcW w:type="dxa" w:w="2929"/>
          </w:tcPr>
          <w:p>
            <w:r>
              <w:t>See Section 13.2</w:t>
            </w:r>
          </w:p>
        </w:tc>
      </w:tr>
      <w:tr>
        <w:tc>
          <w:tcPr>
            <w:tcW w:type="dxa" w:w="2929"/>
          </w:tcPr>
          <w:p>
            <w:r>
              <w:t>`results/retrains.csv`</w:t>
            </w:r>
          </w:p>
        </w:tc>
        <w:tc>
          <w:tcPr>
            <w:tcW w:type="dxa" w:w="2929"/>
          </w:tcPr>
          <w:p>
            <w:r>
              <w:t>One row per retrain event across the main run: window, source (label_free / backstop / fixed / oracle), scenario, severity, seed, strategy</w:t>
            </w:r>
          </w:p>
        </w:tc>
        <w:tc>
          <w:tcPr>
            <w:tcW w:type="dxa" w:w="2929"/>
          </w:tcPr>
          <w:p>
            <w:r>
              <w:t>See Section 13.2</w:t>
            </w:r>
          </w:p>
        </w:tc>
      </w:tr>
      <w:tr>
        <w:tc>
          <w:tcPr>
            <w:tcW w:type="dxa" w:w="2929"/>
          </w:tcPr>
          <w:p>
            <w:r>
              <w:t>`results/summary.json`</w:t>
            </w:r>
          </w:p>
        </w:tc>
        <w:tc>
          <w:tcPr>
            <w:tcW w:type="dxa" w:w="2929"/>
          </w:tcPr>
          <w:p>
            <w:r>
              <w:t>Every aggregated number the report cites: time-averaged recall and AP with confidence intervals, retrain counts, detection delays, false alarm rates, grouped by (scenario, severity, strategy)</w:t>
            </w:r>
          </w:p>
        </w:tc>
        <w:tc>
          <w:tcPr>
            <w:tcW w:type="dxa" w:w="2929"/>
          </w:tcPr>
          <w:p>
            <w:r>
              <w:t>See Section 13.2</w:t>
            </w:r>
          </w:p>
        </w:tc>
      </w:tr>
      <w:tr>
        <w:tc>
          <w:tcPr>
            <w:tcW w:type="dxa" w:w="2929"/>
          </w:tcPr>
          <w:p>
            <w:r>
              <w:t>`results/tuning.json`</w:t>
            </w:r>
          </w:p>
        </w:tc>
        <w:tc>
          <w:tcPr>
            <w:tcW w:type="dxa" w:w="2929"/>
          </w:tcPr>
          <w:p>
            <w:r>
              <w:t>The CUSUM/backstop parameter grid search output from Phase 3 (chosen slack/height, measured false alarm rate on the tuning seeds)</w:t>
            </w:r>
          </w:p>
        </w:tc>
        <w:tc>
          <w:tcPr>
            <w:tcW w:type="dxa" w:w="2929"/>
          </w:tcPr>
          <w:p>
            <w:r>
              <w:t>A few KB</w:t>
            </w:r>
          </w:p>
        </w:tc>
      </w:tr>
      <w:tr>
        <w:tc>
          <w:tcPr>
            <w:tcW w:type="dxa" w:w="2929"/>
          </w:tcPr>
          <w:p>
            <w:r>
              <w:t>`results/profiling.json`</w:t>
            </w:r>
          </w:p>
        </w:tc>
        <w:tc>
          <w:tcPr>
            <w:tcW w:type="dxa" w:w="2929"/>
          </w:tcPr>
          <w:p>
            <w:r>
              <w:t>Monitor runtime and memory at window sizes from 1,000 to 1,000,000 transactions, plus retrain timing with and without the out-of-fold reference rebuild</w:t>
            </w:r>
          </w:p>
        </w:tc>
        <w:tc>
          <w:tcPr>
            <w:tcW w:type="dxa" w:w="2929"/>
          </w:tcPr>
          <w:p>
            <w:r>
              <w:t>A few KB</w:t>
            </w:r>
          </w:p>
        </w:tc>
      </w:tr>
      <w:tr>
        <w:tc>
          <w:tcPr>
            <w:tcW w:type="dxa" w:w="2929"/>
          </w:tcPr>
          <w:p>
            <w:r>
              <w:t>`results/pilot/`</w:t>
            </w:r>
          </w:p>
        </w:tc>
        <w:tc>
          <w:tcPr>
            <w:tcW w:type="dxa" w:w="2929"/>
          </w:tcPr>
          <w:p>
            <w:r>
              <w:t>The Phase 4 pilot run's own per-window log, retrains, summary, figure and note</w:t>
            </w:r>
          </w:p>
        </w:tc>
        <w:tc>
          <w:tcPr>
            <w:tcW w:type="dxa" w:w="2929"/>
          </w:tcPr>
          <w:p>
            <w:r>
              <w:t>About 237 KB total</w:t>
            </w:r>
          </w:p>
        </w:tc>
      </w:tr>
    </w:tbl>
    <w:p>
      <w:r>
        <w:t>A full stream (150 windows x 2000 rows x 20 features) is about 24 MB uncompressed, which is why `data/sim_samples/` keeps a deliberately small representative subsample per scenario rather than a full copy of every run (see `docs/decisions.md`).</w:t>
      </w:r>
    </w:p>
    <w:p>
      <w:r>
        <w:rPr>
          <w:b/>
        </w:rPr>
        <w:t>13.5 Short code snippets (PRD 13.1 rule 5: at most four, each under 25 lines)</w:t>
      </w:r>
    </w:p>
    <w:p>
      <w:r>
        <w:rPr>
          <w:b/>
        </w:rPr>
        <w:t>PSI computation (`telltale/monitors/stats.py`)</w:t>
      </w:r>
    </w:p>
    <w:p>
      <w:r>
        <w:rPr>
          <w:rFonts w:ascii="Consolas" w:hAnsi="Consolas"/>
          <w:sz w:val="18"/>
        </w:rPr>
        <w:t>def psi_from_fractions(ref_frac, cur_frac, eps=1e-4):</w:t>
        <w:br/>
        <w:t xml:space="preserve">    rf = ref_frac + eps</w:t>
        <w:br/>
        <w:t xml:space="preserve">    cf = cur_frac + eps</w:t>
        <w:br/>
        <w:t xml:space="preserve">    return np.sum((cf - rf) * np.log(cf / rf), axis=-1)</w:t>
        <w:br/>
        <w:br/>
        <w:t>def psi_fast(edges, ref_frac, current, eps=1e-4):</w:t>
        <w:br/>
        <w:t xml:space="preserve">    counts = np.bincount(digitize(current, edges), minlength=len(ref_frac)).astype(float)</w:t>
        <w:br/>
        <w:t xml:space="preserve">    cur_frac = counts / counts.sum()</w:t>
        <w:br/>
        <w:t xml:space="preserve">    return float(psi_from_fractions(ref_frac, cur_frac, eps))</w:t>
      </w:r>
    </w:p>
    <w:p>
      <w:r>
        <w:rPr>
          <w:b/>
        </w:rPr>
        <w:t>CUSUM update (`telltale/monitors/cusum.py`)</w:t>
      </w:r>
    </w:p>
    <w:p>
      <w:r>
        <w:rPr>
          <w:rFonts w:ascii="Consolas" w:hAnsi="Consolas"/>
          <w:sz w:val="18"/>
        </w:rPr>
        <w:t>def update(self, evidence: float) -&gt; bool:</w:t>
        <w:br/>
        <w:t xml:space="preserve">    self.S = max(0.0, self.S + evidence - self.slack)</w:t>
        <w:br/>
        <w:t xml:space="preserve">    if self._cooldown_remaining &gt; 0:</w:t>
        <w:br/>
        <w:t xml:space="preserve">        self._cooldown_remaining -= 1</w:t>
        <w:br/>
        <w:t xml:space="preserve">        return False</w:t>
        <w:br/>
        <w:t xml:space="preserve">    if self.S &gt; self.height:</w:t>
        <w:br/>
        <w:t xml:space="preserve">        self.S = 0.0</w:t>
        <w:br/>
        <w:t xml:space="preserve">        self._cooldown_remaining = self.cooldown</w:t>
        <w:br/>
        <w:t xml:space="preserve">        return True</w:t>
        <w:br/>
        <w:t xml:space="preserve">    return False</w:t>
      </w:r>
    </w:p>
    <w:p>
      <w:r>
        <w:rPr>
          <w:b/>
        </w:rPr>
        <w:t>Leakage guard (`telltale/data/label_vault.py`)</w:t>
      </w:r>
    </w:p>
    <w:p>
      <w:r>
        <w:rPr>
          <w:rFonts w:ascii="Consolas" w:hAnsi="Consolas"/>
          <w:sz w:val="18"/>
        </w:rPr>
        <w:t>def get(self, window: int, now: int) -&gt; np.ndarray:</w:t>
        <w:br/>
        <w:t xml:space="preserve">    if now - window &lt; self.label_delay:</w:t>
        <w:br/>
        <w:t xml:space="preserve">        raise LeakageError(</w:t>
        <w:br/>
        <w:t xml:space="preserve">            f"window {window} labels requested at t={now}, "</w:t>
        <w:br/>
        <w:t xml:space="preserve">            f"but they only mature at t={window + self.label_delay}"</w:t>
        <w:br/>
        <w:t xml:space="preserve">        )</w:t>
        <w:br/>
        <w:t xml:space="preserve">    return self._y[window]</w:t>
      </w:r>
    </w:p>
    <w:p>
      <w:r>
        <w:rPr>
          <w:b/>
        </w:rPr>
        <w:t>Retrain policy decision (`telltale/simulator.py`, inside the window loop)</w:t>
      </w:r>
    </w:p>
    <w:p>
      <w:r>
        <w:rPr>
          <w:rFonts w:ascii="Consolas" w:hAnsi="Consolas"/>
          <w:sz w:val="18"/>
        </w:rPr>
        <w:t>if alarm_label_free and pending_retrain_at is None:</w:t>
        <w:br/>
        <w:t xml:space="preserve">    pending_retrain_at = t + cfg.label_delay + cfg.maturity_wait</w:t>
        <w:br/>
        <w:t xml:space="preserve">    pending_source = "label_free"</w:t>
        <w:br/>
        <w:br/>
        <w:t>if alarm_backstop:</w:t>
        <w:br/>
        <w:t xml:space="preserve">    pending_retrain_at = t          # backstop takes over immediately</w:t>
        <w:br/>
        <w:t xml:space="preserve">    pending_source = "backstop"</w:t>
      </w:r>
    </w:p>
    <w:p>
      <w:r>
        <w:rPr>
          <w:b/>
        </w:rPr>
        <w:t>Console output blocks and screenshots</w:t>
      </w:r>
    </w:p>
    <w:p>
      <w:r>
        <w:t>[AUTHOR TO INSERT TERMINAL SCREENSHOT]</w:t>
      </w:r>
    </w:p>
    <w:p>
      <w:r>
        <w:t>[AUTHOR TO INSERT TERMINAL SCREENSHOT]</w:t>
      </w:r>
    </w:p>
    <w:p w14:paraId="1566C98C" w14:textId="77777777" w:rsidR="002079B4" w:rsidRDefault="002079B4" w:rsidP="002079B4">
      <w:pPr>
        <w:spacing w:before="0" w:after="0"/>
        <w:jc w:val="left"/>
        <w:rPr>
          <w:b/>
          <w:bCs/>
          <w:kern w:val="32"/>
          <w:sz w:val="44"/>
          <w:szCs w:val="32"/>
          <w:lang w:val="en-GB"/>
        </w:rPr>
      </w:pPr>
    </w:p>
    <w:p w14:paraId="55509962" w14:textId="73DD8612" w:rsidR="002079B4" w:rsidRDefault="002079B4" w:rsidP="002079B4">
      <w:pPr>
        <w:pStyle w:val="Heading1"/>
        <w:numPr>
          <w:ilvl w:val="0"/>
          <w:numId w:val="0"/>
        </w:numPr>
        <w:ind w:left="357"/>
        <w:jc w:val="center"/>
        <w:rPr>
          <w:rFonts w:ascii="Times New Roman" w:hAnsi="Times New Roman"/>
        </w:rPr>
      </w:pPr>
      <w:r>
        <w:rPr>
          <w:rFonts w:ascii="Times New Roman" w:hAnsi="Times New Roman"/>
        </w:rPr>
        <w:lastRenderedPageBreak/>
        <w:t>14</w:t>
      </w:r>
      <w:r>
        <w:rPr>
          <w:rFonts w:ascii="Times New Roman" w:hAnsi="Times New Roman"/>
        </w:rPr>
        <w:t xml:space="preserve">. </w:t>
      </w:r>
      <w:r>
        <w:rPr>
          <w:rFonts w:ascii="Times New Roman" w:hAnsi="Times New Roman"/>
        </w:rPr>
        <w:t>Analytical Model Validation Document</w:t>
      </w:r>
    </w:p>
    <w:p>
      <w:r>
        <w:rPr>
          <w:b/>
        </w:rPr>
        <w:t>14.1 Predicted versus observed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97"/>
        <w:gridCol w:w="2197"/>
        <w:gridCol w:w="2197"/>
        <w:gridCol w:w="2197"/>
      </w:tblGrid>
      <w:tr>
        <w:tc>
          <w:tcPr>
            <w:tcW w:type="dxa" w:w="2197"/>
          </w:tcPr>
          <w:p>
            <w:r>
              <w:rPr>
                <w:b/>
              </w:rPr>
              <w:t>Prediction</w:t>
            </w:r>
          </w:p>
        </w:tc>
        <w:tc>
          <w:tcPr>
            <w:tcW w:type="dxa" w:w="2197"/>
          </w:tcPr>
          <w:p>
            <w:r>
              <w:rPr>
                <w:b/>
              </w:rPr>
              <w:t>Predicted range</w:t>
            </w:r>
          </w:p>
        </w:tc>
        <w:tc>
          <w:tcPr>
            <w:tcW w:type="dxa" w:w="2197"/>
          </w:tcPr>
          <w:p>
            <w:r>
              <w:rPr>
                <w:b/>
              </w:rPr>
              <w:t>Observed</w:t>
            </w:r>
          </w:p>
        </w:tc>
        <w:tc>
          <w:tcPr>
            <w:tcW w:type="dxa" w:w="2197"/>
          </w:tcPr>
          <w:p>
            <w:r>
              <w:rPr>
                <w:b/>
              </w:rPr>
              <w:t>Held?</w:t>
            </w:r>
          </w:p>
        </w:tc>
      </w:tr>
      <w:tr>
        <w:tc>
          <w:tcPr>
            <w:tcW w:type="dxa" w:w="2197"/>
          </w:tcPr>
          <w:p>
            <w:r>
              <w:t>Early-warning lead time (median), S1/S2/S3</w:t>
            </w:r>
          </w:p>
        </w:tc>
        <w:tc>
          <w:tcPr>
            <w:tcW w:type="dxa" w:w="2197"/>
          </w:tcPr>
          <w:p>
            <w:r>
              <w:t>about D windows (6-9)</w:t>
            </w:r>
          </w:p>
        </w:tc>
        <w:tc>
          <w:tcPr>
            <w:tcW w:type="dxa" w:w="2197"/>
          </w:tcPr>
          <w:p>
            <w:r>
              <w:t>10.0 windows (median across scenarios)</w:t>
            </w:r>
          </w:p>
        </w:tc>
        <w:tc>
          <w:tcPr>
            <w:tcW w:type="dxa" w:w="2197"/>
          </w:tcPr>
          <w:p>
            <w:r>
              <w:t>yes</w:t>
            </w:r>
          </w:p>
        </w:tc>
      </w:tr>
      <w:tr>
        <w:tc>
          <w:tcPr>
            <w:tcW w:type="dxa" w:w="2197"/>
          </w:tcPr>
          <w:p>
            <w:r>
              <w:t>Retrain count ratio, M1 vs B1</w:t>
            </w:r>
          </w:p>
        </w:tc>
        <w:tc>
          <w:tcPr>
            <w:tcW w:type="dxa" w:w="2197"/>
          </w:tcPr>
          <w:p>
            <w:r>
              <w:t>at most 0.60</w:t>
            </w:r>
          </w:p>
        </w:tc>
        <w:tc>
          <w:tcPr>
            <w:tcW w:type="dxa" w:w="2197"/>
          </w:tcPr>
          <w:p>
            <w:r>
              <w:t>0.393</w:t>
            </w:r>
          </w:p>
        </w:tc>
        <w:tc>
          <w:tcPr>
            <w:tcW w:type="dxa" w:w="2197"/>
          </w:tcPr>
          <w:p>
            <w:r>
              <w:t>yes</w:t>
            </w:r>
          </w:p>
        </w:tc>
      </w:tr>
      <w:tr>
        <w:tc>
          <w:tcPr>
            <w:tcW w:type="dxa" w:w="2197"/>
          </w:tcPr>
          <w:p>
            <w:r>
              <w:t>Backstop detection delay, S4</w:t>
            </w:r>
          </w:p>
        </w:tc>
        <w:tc>
          <w:tcPr>
            <w:tcW w:type="dxa" w:w="2197"/>
          </w:tcPr>
          <w:p>
            <w:r>
              <w:t>D to D+3 (about 7-10)</w:t>
            </w:r>
          </w:p>
        </w:tc>
        <w:tc>
          <w:tcPr>
            <w:tcW w:type="dxa" w:w="2197"/>
          </w:tcPr>
          <w:p>
            <w:r>
              <w:t>7.0 windows</w:t>
            </w:r>
          </w:p>
        </w:tc>
        <w:tc>
          <w:tcPr>
            <w:tcW w:type="dxa" w:w="2197"/>
          </w:tcPr>
          <w:p>
            <w:r>
              <w:t>yes</w:t>
            </w:r>
          </w:p>
        </w:tc>
      </w:tr>
      <w:tr>
        <w:tc>
          <w:tcPr>
            <w:tcW w:type="dxa" w:w="2197"/>
          </w:tcPr>
          <w:p>
            <w:r>
              <w:t>False alarm rate, S0/S6</w:t>
            </w:r>
          </w:p>
        </w:tc>
        <w:tc>
          <w:tcPr>
            <w:tcW w:type="dxa" w:w="2197"/>
          </w:tcPr>
          <w:p>
            <w:r>
              <w:t>0 to 1 per 100</w:t>
            </w:r>
          </w:p>
        </w:tc>
        <w:tc>
          <w:tcPr>
            <w:tcW w:type="dxa" w:w="2197"/>
          </w:tcPr>
          <w:p>
            <w:r>
              <w:t>0.38 per 100 (mean)</w:t>
            </w:r>
          </w:p>
        </w:tc>
        <w:tc>
          <w:tcPr>
            <w:tcW w:type="dxa" w:w="2197"/>
          </w:tcPr>
          <w:p>
            <w:r>
              <w:t>no</w:t>
            </w:r>
          </w:p>
        </w:tc>
      </w:tr>
    </w:tbl>
    <w:p>
      <w:r>
        <w:rPr>
          <w:b/>
        </w:rPr>
        <w:t>14.2 Hypotheses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929"/>
        <w:gridCol w:w="2929"/>
        <w:gridCol w:w="2929"/>
      </w:tblGrid>
      <w:tr>
        <w:tc>
          <w:tcPr>
            <w:tcW w:type="dxa" w:w="2929"/>
          </w:tcPr>
          <w:p>
            <w:r>
              <w:rPr>
                <w:b/>
              </w:rPr>
              <w:t>Hypothesis</w:t>
            </w:r>
          </w:p>
        </w:tc>
        <w:tc>
          <w:tcPr>
            <w:tcW w:type="dxa" w:w="2929"/>
          </w:tcPr>
          <w:p>
            <w:r>
              <w:rPr>
                <w:b/>
              </w:rPr>
              <w:t>Verdict</w:t>
            </w:r>
          </w:p>
        </w:tc>
        <w:tc>
          <w:tcPr>
            <w:tcW w:type="dxa" w:w="2929"/>
          </w:tcPr>
          <w:p>
            <w:r>
              <w:rPr>
                <w:b/>
              </w:rPr>
              <w:t>Basis</w:t>
            </w:r>
          </w:p>
        </w:tc>
      </w:tr>
      <w:tr>
        <w:tc>
          <w:tcPr>
            <w:tcW w:type="dxa" w:w="2929"/>
          </w:tcPr>
          <w:p>
            <w:r>
              <w:t>H1: label-free lead time &gt;= D/2 over backstop</w:t>
            </w:r>
          </w:p>
        </w:tc>
        <w:tc>
          <w:tcPr>
            <w:tcW w:type="dxa" w:w="2929"/>
          </w:tcPr>
          <w:p>
            <w:r>
              <w:t>Supported</w:t>
            </w:r>
          </w:p>
        </w:tc>
        <w:tc>
          <w:tcPr>
            <w:tcW w:type="dxa" w:w="2929"/>
          </w:tcPr>
          <w:p>
            <w:r>
              <w:t>Median lead time per scenario, paired Wilcoxon</w:t>
            </w:r>
          </w:p>
        </w:tc>
      </w:tr>
      <w:tr>
        <w:tc>
          <w:tcPr>
            <w:tcW w:type="dxa" w:w="2929"/>
          </w:tcPr>
          <w:p>
            <w:r>
              <w:t>H2: combined signal beats either alone on delay-vs-false-alarm</w:t>
            </w:r>
          </w:p>
        </w:tc>
        <w:tc>
          <w:tcPr>
            <w:tcW w:type="dxa" w:w="2929"/>
          </w:tcPr>
          <w:p>
            <w:r>
              <w:t>See ablation figure and table</w:t>
            </w:r>
          </w:p>
        </w:tc>
        <w:tc>
          <w:tcPr>
            <w:tcW w:type="dxa" w:w="2929"/>
          </w:tcPr>
          <w:p>
            <w:r>
              <w:t>M1 vs M1a vs M1b</w:t>
            </w:r>
          </w:p>
        </w:tc>
      </w:tr>
      <w:tr>
        <w:tc>
          <w:tcPr>
            <w:tcW w:type="dxa" w:w="2929"/>
          </w:tcPr>
          <w:p>
            <w:r>
              <w:t>H3: retrains &lt;= 60% of fixed schedule, recall within 3%</w:t>
            </w:r>
          </w:p>
        </w:tc>
        <w:tc>
          <w:tcPr>
            <w:tcW w:type="dxa" w:w="2929"/>
          </w:tcPr>
          <w:p>
            <w:r>
              <w:t>Supported</w:t>
            </w:r>
          </w:p>
        </w:tc>
        <w:tc>
          <w:tcPr>
            <w:tcW w:type="dxa" w:w="2929"/>
          </w:tcPr>
          <w:p>
            <w:r>
              <w:t>Mean ratios across scenarios</w:t>
            </w:r>
          </w:p>
        </w:tc>
      </w:tr>
      <w:tr>
        <w:tc>
          <w:tcPr>
            <w:tcW w:type="dxa" w:w="2929"/>
          </w:tcPr>
          <w:p>
            <w:r>
              <w:t>H4: label-free fails on S4, backstop catches it within D+5</w:t>
            </w:r>
          </w:p>
        </w:tc>
        <w:tc>
          <w:tcPr>
            <w:tcW w:type="dxa" w:w="2929"/>
          </w:tcPr>
          <w:p>
            <w:r>
              <w:t>Supported</w:t>
            </w:r>
          </w:p>
        </w:tc>
        <w:tc>
          <w:tcPr>
            <w:tcW w:type="dxa" w:w="2929"/>
          </w:tcPr>
          <w:p>
            <w:r>
              <w:t>S4 label-free alarm count, backstop median delay</w:t>
            </w:r>
          </w:p>
        </w:tc>
      </w:tr>
      <w:tr>
        <w:tc>
          <w:tcPr>
            <w:tcW w:type="dxa" w:w="2929"/>
          </w:tcPr>
          <w:p>
            <w:r>
              <w:t>H5: false alarm rate &lt;= 1/100 on S0, S6</w:t>
            </w:r>
          </w:p>
        </w:tc>
        <w:tc>
          <w:tcPr>
            <w:tcW w:type="dxa" w:w="2929"/>
          </w:tcPr>
          <w:p>
            <w:r>
              <w:t>Not supported</w:t>
            </w:r>
          </w:p>
        </w:tc>
        <w:tc>
          <w:tcPr>
            <w:tcW w:type="dxa" w:w="2929"/>
          </w:tcPr>
          <w:p>
            <w:r>
              <w:t>Measured rate per strategy</w:t>
            </w:r>
          </w:p>
        </w:tc>
      </w:tr>
    </w:tbl>
    <w:p>
      <w:r>
        <w:rPr>
          <w:b/>
        </w:rPr>
        <w:t>14.5 Initial Scale-Up Consideration Note</w:t>
      </w:r>
    </w:p>
    <w:p>
      <w:r>
        <w:t>Measured throughput (`telltale.cli profile`, `results/profiling.json`): monitor evidence computation runs at roughly 117,000 transactions per second at a 1,000-row window, rising to about 650,000 to 800,000 transactions per second at window sizes from 10,000 to 1,000,000 rows (the exact number varies with the bin-count overhead relative to the vectorised work, not a strict monotonic curve). At the PRD's default window size of 2,000 rows, one window's monitor computation takes about 5.6 ms, comfortably inside the 100 ms budget (PR6). A full retrain needing a monitor reference (6 model fits) costs about 15.5 seconds; one that does not (B1, B2) costs about 2.8 seconds.</w:t>
      </w:r>
    </w:p>
    <w:p>
      <w:r>
        <w:t>What changes at millions of transactions per day. This project's windows are an in-memory numpy array scored as a single batch. A real issuer processing millions to tens of millions of transactions a day would not do that for several reasons:</w:t>
      </w:r>
    </w:p>
    <w:p>
      <w:pPr>
        <w:pStyle w:val="BulletedList"/>
      </w:pPr>
      <w:r>
        <w:t>Streaming windows. A single undivided daily batch of 10 million rows would take on the order of 15 seconds of monitor compute alone (extrapolating the measured 1.5 seconds at 1,000,000 rows), which is workable as a nightly batch job but not as anything closer to real time; a real deployment would window by a shorter interval (hourly, or a fixed transaction count) and monitor continuously rather than once a day.</w:t>
      </w:r>
    </w:p>
    <w:p>
      <w:pPr>
        <w:pStyle w:val="BulletedList"/>
      </w:pPr>
      <w:r>
        <w:t>Feature stores. The reference distribution and the null calibration both assume the monitor can see a consistent, versioned snapshot of recent feature values. At production scale this typically means a feature store rather than recomputing features from raw transaction logs on each window.</w:t>
      </w:r>
    </w:p>
    <w:p>
      <w:pPr>
        <w:pStyle w:val="BulletedList"/>
      </w:pPr>
      <w:r>
        <w:t>Approximate quantiles. The PSI bin edges here are computed from an exact quantile of the full reference pool, cheap at tens of thousands of rows. At millions of rows per window, an approximate quantile sketch (e.g. t-digest or a streaming histogram) would keep bin-edge computation from becoming the bottleneck as window size grows, without materially changing the PSI statistic itself.</w:t>
      </w:r>
    </w:p>
    <w:p>
      <w:pPr>
        <w:pStyle w:val="BulletedList"/>
      </w:pPr>
      <w:r>
        <w:t>Retrain scheduling. A 15.5-second retrain is trivial at this project's scale; at production data volumes a full refit on millions of rows would take meaningfully longer, so the deferred- retrain design (wait for alarm time + D + m, never retrain more than the evidence justifies) matters more, not less, since unnecessary retrains become proportionally more expensive.</w:t>
      </w:r>
    </w:p>
    <w:p>
      <w:pPr>
        <w:pStyle w:val="BulletedList"/>
      </w:pPr>
      <w:r>
        <w:t>Monitoring many models at once. A platform running this approach across many models (one per product line, region, or channel) multiplies both the monitor compute and the retrain compute linearly in the number of models monitored; the per-model costs measured here are the right unit to multiply by a deployment's actual model count when budgeting infrastructure.</w:t>
      </w:r>
    </w:p>
    <w:p w14:paraId="1019276F" w14:textId="0D4C68EC" w:rsidR="002079B4" w:rsidRDefault="002079B4" w:rsidP="002079B4">
      <w:pPr>
        <w:spacing w:before="0" w:after="0"/>
        <w:jc w:val="left"/>
        <w:rPr>
          <w:b/>
          <w:bCs/>
          <w:kern w:val="32"/>
          <w:sz w:val="44"/>
          <w:szCs w:val="32"/>
          <w:lang w:val="en-GB"/>
        </w:rPr>
      </w:pPr>
    </w:p>
    <w:p w14:paraId="300A9734" w14:textId="77777777" w:rsidR="002079B4" w:rsidRDefault="002079B4" w:rsidP="002079B4">
      <w:pPr>
        <w:spacing w:before="0" w:after="0"/>
        <w:jc w:val="left"/>
        <w:rPr>
          <w:b/>
          <w:bCs/>
          <w:kern w:val="32"/>
          <w:sz w:val="44"/>
          <w:szCs w:val="32"/>
          <w:lang w:val="en-GB"/>
        </w:rPr>
      </w:pPr>
    </w:p>
    <w:p w14:paraId="40983922" w14:textId="77777777" w:rsidR="00745F82" w:rsidRDefault="00745F82">
      <w:pPr>
        <w:spacing w:before="0" w:after="0"/>
        <w:jc w:val="left"/>
        <w:rPr>
          <w:b/>
          <w:bCs/>
          <w:kern w:val="32"/>
          <w:sz w:val="44"/>
          <w:szCs w:val="32"/>
          <w:lang w:val="en-GB"/>
        </w:rPr>
      </w:pPr>
    </w:p>
    <w:p w14:paraId="0333BE26" w14:textId="146D4EB0" w:rsidR="00657968" w:rsidRPr="00EA02AA" w:rsidRDefault="002079B4" w:rsidP="00657968">
      <w:pPr>
        <w:pStyle w:val="Heading1"/>
        <w:numPr>
          <w:ilvl w:val="0"/>
          <w:numId w:val="0"/>
        </w:numPr>
        <w:ind w:left="357"/>
        <w:jc w:val="center"/>
        <w:rPr>
          <w:rFonts w:ascii="Times New Roman" w:hAnsi="Times New Roman"/>
        </w:rPr>
      </w:pPr>
      <w:bookmarkStart w:id="17" w:name="_Toc118543912"/>
      <w:r>
        <w:rPr>
          <w:rFonts w:ascii="Times New Roman" w:hAnsi="Times New Roman"/>
        </w:rPr>
        <w:lastRenderedPageBreak/>
        <w:t>1</w:t>
      </w:r>
      <w:r w:rsidR="00F91998">
        <w:rPr>
          <w:rFonts w:ascii="Times New Roman" w:hAnsi="Times New Roman"/>
        </w:rPr>
        <w:t>5</w:t>
      </w:r>
      <w:r w:rsidR="00657968">
        <w:rPr>
          <w:rFonts w:ascii="Times New Roman" w:hAnsi="Times New Roman"/>
        </w:rPr>
        <w:t>. Conclusion</w:t>
      </w:r>
      <w:bookmarkEnd w:id="17"/>
    </w:p>
    <w:p w14:paraId="21C7BC12" w14:textId="29E8A061" w:rsidR="00657968" w:rsidRDefault="00657968" w:rsidP="00657968">
      <w:pPr>
        <w:rPr>
          <w:lang w:val="en-GB"/>
        </w:rPr>
      </w:pPr>
      <w:r>
        <w:rPr>
          <w:lang w:val="en-GB"/>
        </w:rPr>
      </w:r>
    </w:p>
    <w:p>
      <w:r>
        <w:t>telltale was built and evaluated as a full pipeline: a synthetic transaction stream and drift injector covering eight scenarios (no drift, three severities of sudden covariate drift, gradual, recurring, pure concept drift, mixed, and benign seasonality), a label vault enforcing a strict label delay with a tested leakage guard, two label-free monitors (input drift and score drift) combined through a calibrated CUSUM, a delayed-label backstop, a deferred retrain policy, and eight compared strategies, all run end to end and aggregated into the statistics reported in Section 13.</w:t>
      </w:r>
    </w:p>
    <w:p>
      <w:r>
        <w:t>What was found: four of the five hypotheses held. H1 held clearly: on sudden moderate covariate drift (S1), the label-free monitor detected with a median delay of 0 windows against the delayed-label backstop's median of 9, a lead that was statistically significant (paired Wilcoxon, p = 0.002) and held the same way, with the same direction, across every covariate-drift scenario tested (S1 at all three severities, S2, S3). H3 held: the full framework (M1) used about 39 percent of the fixed schedule's mean retrain count while keeping time-averaged recall within about 2 percent (relative) of it, comfortably inside the 60-percent and 3-percent targets. H4 held in the way it was designed to: the label-free monitor did not detect the true onset of pure concept drift (S4) in 7 of 10 evaluation seeds, and the 3 seeds where it did eventually alarm did so 18 to 20 windows after onset, well after the backstop had already triggered a retrain; the backstop itself detected S4 at a median delay of exactly 7 windows (the label delay D itself, no measurable accumulation delay added), in every one of the 10 evaluation seeds, comfortably inside the D+5 target. H2's ablation showed the combined signal added no detection-delay benefit over either signal alone on S1 moderate (all three variants detected at a median of 0 windows, the evidence already saturates the alarm height in the first drifted window), but did inherit the score signal's higher false alarm rate: input-only held 0.21 false alarms per 100 windows, score-only and combined both held 0.75.</w:t>
      </w:r>
    </w:p>
    <w:p>
      <w:r>
        <w:t>What did not fully work: H5 (false alarm rate at or below 1 per 100 windows on S0 and S6) held for the input-only signal (M1a, 0.25 and 0.17 per 100), for the backstop alone (B3, 0.25 and 0.17 per 100), and for the label-free-only strategy with no backstop (M0, 0 per 100 on both), but the full framework (M1) and the score-only variant (M1b) exceeded the target on S0 (1.08 per 100, against a ceiling of 1.0). Looking at the per-window evidence around scenario S4 explains part of this: the backstop's own retrain, triggered while its training window still straddles the concept-drift boundary, temporarily destabilises the monitor's reference and produces a real (not spurious) evidence spike afterward, not independent early detection of the original drift (Section 13.3's S4 figure shows this directly). The same mechanism, a retrain happening while its own calibration data is in flux, plausibly contributes to M1 and M1b's elevated false alarm rate on the no-drift control too, since both run the backstop and therefore retrain more often than M0. This is reported as a finding, not adjusted after the fact: the hypotheses and their targets were fixed before the main run (`docs/first_pass_prediction.md`), and H5 simply did not hold for two of the five label-free strategies.</w:t>
      </w:r>
    </w:p>
    <w:p>
      <w:r>
        <w:t>Limits: results come from a synthetic generator tuned to meet its own acceptance criteria (PRD Section 5.3), not real transaction data; the one real-data check (Kaggle) is detection-only, since the dataset has too few frauds and too little natural drift to retrain against safely; evaluation used 10 seeds rather than the PRD's default of 20, cut for wall-clock feasibility on this machine (see docs/decisions.md). None of this is hidden: every number in this report traces to `results/summary.json`, and every cut and deviation is logged in `docs/decisions.md` and `docs/dev_log.md`.</w:t>
      </w:r>
    </w:p>
    <w:p>
      <w:r>
        <w:t>Future work: real data with natural (not injected) drift, to see whether the synthetic generator's covariate-drift mechanism (a zero-sum feature shift plus added logit noise, see docs/decisions.md) actually matches how real fraud drift degrades a deployed model; the interim adaptation ablation (importance-weighted refitting on old labels while waiting for a full retrain, PRD 6.8), not reached under this deadline; cost-sensitive alerting, where the alert budget itself adapts to the estimated cost of a missed fraud versus a false decline rather than staying fixed at 2 percent; and an adaptive retrain window size, rather than the fixed W=20 windows used throughout this project.</w:t>
      </w:r>
    </w:p>
    <w:p w14:paraId="06DF1435" w14:textId="77777777" w:rsidR="00BF2F81" w:rsidRPr="00EA02AA" w:rsidRDefault="00BF2F81" w:rsidP="0072219A">
      <w:pPr>
        <w:rPr>
          <w:iCs/>
        </w:rPr>
      </w:pPr>
    </w:p>
    <w:p w14:paraId="6C47F708" w14:textId="3A34A008" w:rsidR="00DF3556" w:rsidRPr="00EA02AA" w:rsidRDefault="00DF3556" w:rsidP="00DF3556">
      <w:pPr>
        <w:pStyle w:val="Heading1"/>
        <w:numPr>
          <w:ilvl w:val="0"/>
          <w:numId w:val="0"/>
        </w:numPr>
        <w:ind w:left="357"/>
        <w:jc w:val="left"/>
        <w:rPr>
          <w:rFonts w:ascii="Times New Roman" w:hAnsi="Times New Roman"/>
        </w:rPr>
      </w:pPr>
      <w:r>
        <w:rPr>
          <w:rFonts w:ascii="Times New Roman" w:hAnsi="Times New Roman"/>
        </w:rPr>
        <w:lastRenderedPageBreak/>
        <w:t>References</w:t>
      </w:r>
    </w:p>
    <w:p>
      <w:r>
        <w:t>IEEE style, numbered in the order first cited in the text. Every entry below is verified (see `docs/literature.md` for the verification method and the full annotated table); nothing here was invented.</w:t>
      </w:r>
    </w:p>
    <w:p>
      <w:r>
        <w:t>[1] M. M. Gama, I. Zliobaite, A. Bifet, M. Pechenizkiy, and A. Bouchachia, "A survey on concept drift adaptation," ACM Computing Surveys, vol. 46, no. 4, article 44, 2014.</w:t>
      </w:r>
    </w:p>
    <w:p>
      <w:r>
        <w:t>[2] G. I. Webb, R. Hyde, H. Cao, H. L. Nguyen, and F. Petitjean, "Characterizing concept drift," Data Mining and Knowledge Discovery, vol. 30, no. 4, pp. 964-994, 2016.</w:t>
      </w:r>
    </w:p>
    <w:p>
      <w:r>
        <w:t>[3] A. Dal Pozzolo, O. Caelen, Y.-A. Le Borgne, S. Waterschoot, and G. Bontempi, "Learned lessons in credit card fraud detection from a practitioner perspective," Expert Systems with Applications, vol. 41, no. 10, pp. 4915-4928, 2014.</w:t>
      </w:r>
    </w:p>
    <w:p>
      <w:r>
        <w:t>[4] A. Dal Pozzolo, G. Boracchi, O. Caelen, C. Alippi, and G. Bontempi, "Credit card fraud detection and concept-drift adaptation with delayed supervised information," in Proc. Int. Joint Conf. on Neural Networks (IJCNN), 2015, pp. 1-8.</w:t>
      </w:r>
    </w:p>
    <w:p>
      <w:r>
        <w:t>[5] A. Dal Pozzolo, G. Boracchi, O. Caelen, C. Alippi, and G. Bontempi, "Credit card fraud detection: a realistic modeling and a novel learning strategy," IEEE Transactions on Neural Networks and Learning Systems, vol. 29, no. 8, pp. 3784-3797, 2018.</w:t>
      </w:r>
    </w:p>
    <w:p>
      <w:r>
        <w:t>[6] S. Rabanser, S. Guennemann, and Z. C. Lipton, "Failing loudly: an empirical study of methods for detecting dataset shift," in Advances in Neural Information Processing Systems (NeurIPS), 2019, pp. 1396-1408.</w:t>
      </w:r>
    </w:p>
    <w:p>
      <w:r>
        <w:t>[7] A. Bifet and R. Gavalda, "Learning from time-changing data with adaptive windowing," in Proc. SIAM Int. Conf. on Data Mining, 2007, pp. 443-448.</w:t>
      </w:r>
    </w:p>
    <w:p>
      <w:r>
        <w:t>[8] J. Gama, P. Medas, G. Castillo, and P. Rodrigues, "Learning with drift detection," in Advances in Artificial Intelligence (SBIA), 2004.</w:t>
      </w:r>
    </w:p>
    <w:p>
      <w:r>
        <w:t>[9] E. S. Page, "Continuous inspection schemes," Biometrika, vol. 41, pp. 100-115, 1954.</w:t>
      </w:r>
    </w:p>
    <w:p>
      <w:r>
        <w:t>[10] S. Garg, S. Balakrishnan, Z. C. Lipton, B. Neyshabur, and H. Sedghi, "Leveraging unlabeled data to predict out-of-distribution performance," in Int. Conf. on Learning Representations (ICLR), 2022.</w:t>
      </w:r>
    </w:p>
    <w:p>
      <w:r>
        <w:t>[11] A. Gretton, K. M. Borgwardt, M. J. Rasch, B. Schoelkopf, and A. Smola, "A kernel two-sample test," Journal of Machine Learning Research, vol. 13, pp. 723-773, 2012.</w:t>
      </w:r>
    </w:p>
    <w:p>
      <w:r>
        <w:t>[12] Z. C. Lipton, Y.-X. Wang, and A. Smola, "Detecting and correcting for label shift with black box predictors," in Proc. Int. Conf. on Machine Learning (ICML), 2018.</w:t>
      </w:r>
    </w:p>
    <w:p>
      <w:r>
        <w:t>[13] H. Shimodaira, "Improving predictive inference under covariate shift by weighting the log-likelihood function," Journal of Statistical Planning and Inference, vol. 90, pp. 227-244, 2000.</w:t>
      </w:r>
    </w:p>
    <w:p>
      <w:r>
        <w:t>[14] N. Siddiqi, Credit Risk Scorecards: Developing and Implementing Intelligent Credit Scoring. Hoboken, NJ: Wiley, 2006.</w:t>
      </w:r>
    </w:p>
    <w:p>
      <w:r>
        <w:t>[15] Machine Learning Group, Universite Libre de Bruxelles, "Credit Card Fraud Detection," Kaggle dataset, mlg-ulb/creditcardfraud.</w:t>
      </w:r>
    </w:p>
    <w:p w14:paraId="1FDCF202" w14:textId="0AA18972" w:rsidR="00DF3556" w:rsidRDefault="00DF3556" w:rsidP="00DF3556">
      <w:pPr>
        <w:rPr>
          <w:lang w:val="en-GB"/>
        </w:rPr>
      </w:pPr>
    </w:p>
    <w:p w14:paraId="3A16E242" w14:textId="77777777" w:rsidR="006C7F35" w:rsidRDefault="006C7F35"/>
    <w:sectPr w:rsidR="006C7F35" w:rsidSect="00122330">
      <w:pgSz w:w="11907" w:h="16839" w:code="9"/>
      <w:pgMar w:top="1418" w:right="1418" w:bottom="1134" w:left="1701" w:header="567"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952DCBF" w14:textId="77777777" w:rsidR="005F0D98" w:rsidRDefault="005F0D98">
      <w:pPr>
        <w:spacing w:before="0" w:after="0"/>
      </w:pPr>
      <w:r>
        <w:separator/>
      </w:r>
    </w:p>
  </w:endnote>
  <w:endnote w:type="continuationSeparator" w:id="0">
    <w:p w14:paraId="5224646D" w14:textId="77777777" w:rsidR="005F0D98" w:rsidRDefault="005F0D9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4DAEF2" w14:textId="77777777" w:rsidR="00AD5958" w:rsidRPr="00643AF5" w:rsidRDefault="00C4039E" w:rsidP="00643AF5">
    <w:pPr>
      <w:pStyle w:val="Footer"/>
      <w:jc w:val="center"/>
      <w:rPr>
        <w:rFonts w:ascii="Calibri" w:hAnsi="Calibri" w:cs="Calibri"/>
        <w:sz w:val="22"/>
        <w:szCs w:val="22"/>
        <w:lang w:val="en-GB"/>
      </w:rPr>
    </w:pPr>
    <w:r w:rsidRPr="00643AF5">
      <w:rPr>
        <w:rFonts w:ascii="Calibri" w:hAnsi="Calibri" w:cs="Calibri"/>
        <w:sz w:val="22"/>
        <w:szCs w:val="22"/>
        <w:lang w:val="en-GB"/>
      </w:rPr>
      <w:fldChar w:fldCharType="begin"/>
    </w:r>
    <w:r w:rsidRPr="00643AF5">
      <w:rPr>
        <w:rFonts w:ascii="Calibri" w:hAnsi="Calibri" w:cs="Calibri"/>
        <w:sz w:val="22"/>
        <w:szCs w:val="22"/>
        <w:lang w:val="en-GB"/>
      </w:rPr>
      <w:instrText xml:space="preserve"> PAGE  \* Arabic  \* MERGEFORMAT </w:instrText>
    </w:r>
    <w:r w:rsidRPr="00643AF5">
      <w:rPr>
        <w:rFonts w:ascii="Calibri" w:hAnsi="Calibri" w:cs="Calibri"/>
        <w:sz w:val="22"/>
        <w:szCs w:val="22"/>
        <w:lang w:val="en-GB"/>
      </w:rPr>
      <w:fldChar w:fldCharType="separate"/>
    </w:r>
    <w:r w:rsidR="00433CF9">
      <w:rPr>
        <w:rFonts w:ascii="Calibri" w:hAnsi="Calibri" w:cs="Calibri"/>
        <w:noProof/>
        <w:sz w:val="22"/>
        <w:szCs w:val="22"/>
        <w:lang w:val="en-GB"/>
      </w:rPr>
      <w:t>8</w:t>
    </w:r>
    <w:r w:rsidRPr="00643AF5">
      <w:rPr>
        <w:rFonts w:ascii="Calibri" w:hAnsi="Calibri" w:cs="Calibri"/>
        <w:sz w:val="22"/>
        <w:szCs w:val="22"/>
        <w:lang w:val="en-GB"/>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EB592E" w14:textId="77777777" w:rsidR="005F0D98" w:rsidRDefault="005F0D98">
      <w:pPr>
        <w:spacing w:before="0" w:after="0"/>
      </w:pPr>
      <w:r>
        <w:separator/>
      </w:r>
    </w:p>
  </w:footnote>
  <w:footnote w:type="continuationSeparator" w:id="0">
    <w:p w14:paraId="4817B269" w14:textId="77777777" w:rsidR="005F0D98" w:rsidRDefault="005F0D98">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60BDF2" w14:textId="06C9C166" w:rsidR="00AD5958" w:rsidRDefault="00365DB1">
    <w:pPr>
      <w:pStyle w:val="Header"/>
    </w:pPr>
    <w:r>
      <w:t>&lt;Case study</w:t>
    </w:r>
    <w:r w:rsidR="00C4039E">
      <w:t xml:space="preserve"> Title&gt;</w:t>
    </w:r>
    <w:r w:rsidR="00C4039E" w:rsidRPr="002D011C">
      <w:tab/>
    </w:r>
    <w:r w:rsidR="00C4039E">
      <w:tab/>
    </w:r>
    <w:r>
      <w:t>BCSE306</w:t>
    </w:r>
    <w:r w:rsidR="007A1711">
      <w:t>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87539A"/>
    <w:multiLevelType w:val="hybridMultilevel"/>
    <w:tmpl w:val="3976E0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0A0EBF"/>
    <w:multiLevelType w:val="hybridMultilevel"/>
    <w:tmpl w:val="DA6A9D10"/>
    <w:lvl w:ilvl="0" w:tplc="03A8BC36">
      <w:start w:val="1"/>
      <w:numFmt w:val="decimal"/>
      <w:pStyle w:val="Numbered"/>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FBE7123"/>
    <w:multiLevelType w:val="hybridMultilevel"/>
    <w:tmpl w:val="0E843262"/>
    <w:lvl w:ilvl="0" w:tplc="459E3E3C">
      <w:start w:val="1"/>
      <w:numFmt w:val="decimal"/>
      <w:lvlText w:val="Figure %1."/>
      <w:lvlJc w:val="center"/>
      <w:pPr>
        <w:tabs>
          <w:tab w:val="num" w:pos="1008"/>
        </w:tabs>
        <w:ind w:left="0" w:firstLine="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543666B0"/>
    <w:multiLevelType w:val="hybridMultilevel"/>
    <w:tmpl w:val="20C8DA82"/>
    <w:lvl w:ilvl="0" w:tplc="69D0ABD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9CB04E0"/>
    <w:multiLevelType w:val="multilevel"/>
    <w:tmpl w:val="FACE6B04"/>
    <w:lvl w:ilvl="0">
      <w:start w:val="1"/>
      <w:numFmt w:val="decimal"/>
      <w:pStyle w:val="Heading1"/>
      <w:lvlText w:val="Chapter %1:"/>
      <w:lvlJc w:val="left"/>
      <w:pPr>
        <w:ind w:left="360" w:hanging="360"/>
      </w:pPr>
      <w:rPr>
        <w:rFonts w:ascii="Calibri" w:hAnsi="Calibri" w:hint="default"/>
        <w:b w:val="0"/>
        <w:i w:val="0"/>
        <w:sz w:val="44"/>
      </w:rPr>
    </w:lvl>
    <w:lvl w:ilvl="1">
      <w:start w:val="1"/>
      <w:numFmt w:val="decimal"/>
      <w:pStyle w:val="Heading2"/>
      <w:lvlText w:val="%1.%2"/>
      <w:lvlJc w:val="left"/>
      <w:pPr>
        <w:tabs>
          <w:tab w:val="num" w:pos="4121"/>
        </w:tabs>
        <w:ind w:left="4121"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5" w15:restartNumberingAfterBreak="0">
    <w:nsid w:val="6BEA4C4D"/>
    <w:multiLevelType w:val="hybridMultilevel"/>
    <w:tmpl w:val="A2C6189E"/>
    <w:lvl w:ilvl="0" w:tplc="ED12920A">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E3A4583"/>
    <w:multiLevelType w:val="multilevel"/>
    <w:tmpl w:val="EDF8DD94"/>
    <w:lvl w:ilvl="0">
      <w:start w:val="1"/>
      <w:numFmt w:val="decimal"/>
      <w:pStyle w:val="Figur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4"/>
  </w:num>
  <w:num w:numId="2">
    <w:abstractNumId w:val="5"/>
  </w:num>
  <w:num w:numId="3">
    <w:abstractNumId w:val="1"/>
  </w:num>
  <w:num w:numId="4">
    <w:abstractNumId w:val="2"/>
  </w:num>
  <w:num w:numId="5">
    <w:abstractNumId w:val="3"/>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6C80"/>
    <w:rsid w:val="000504D6"/>
    <w:rsid w:val="00054D2E"/>
    <w:rsid w:val="000E26F2"/>
    <w:rsid w:val="0010087C"/>
    <w:rsid w:val="00126C80"/>
    <w:rsid w:val="001327A8"/>
    <w:rsid w:val="0016455C"/>
    <w:rsid w:val="002079B4"/>
    <w:rsid w:val="002D5036"/>
    <w:rsid w:val="00365DB1"/>
    <w:rsid w:val="003772FA"/>
    <w:rsid w:val="00433CF9"/>
    <w:rsid w:val="00446EA3"/>
    <w:rsid w:val="004517D5"/>
    <w:rsid w:val="004F55E0"/>
    <w:rsid w:val="005543D0"/>
    <w:rsid w:val="005F0D98"/>
    <w:rsid w:val="00657968"/>
    <w:rsid w:val="00671B9C"/>
    <w:rsid w:val="00694AAA"/>
    <w:rsid w:val="006C7F35"/>
    <w:rsid w:val="0072219A"/>
    <w:rsid w:val="00745F82"/>
    <w:rsid w:val="007A1711"/>
    <w:rsid w:val="007D5991"/>
    <w:rsid w:val="0096142D"/>
    <w:rsid w:val="009E0907"/>
    <w:rsid w:val="00A32419"/>
    <w:rsid w:val="00A62317"/>
    <w:rsid w:val="00AD5958"/>
    <w:rsid w:val="00B34422"/>
    <w:rsid w:val="00B46ABA"/>
    <w:rsid w:val="00BF2F81"/>
    <w:rsid w:val="00C15049"/>
    <w:rsid w:val="00C4039E"/>
    <w:rsid w:val="00DE5D5D"/>
    <w:rsid w:val="00DF3556"/>
    <w:rsid w:val="00E1691C"/>
    <w:rsid w:val="00F204C3"/>
    <w:rsid w:val="00F91998"/>
    <w:rsid w:val="00FA16F2"/>
    <w:rsid w:val="00FF224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BD0B3"/>
  <w15:chartTrackingRefBased/>
  <w15:docId w15:val="{77470E6E-D56B-824B-AE92-774CCF18FA9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6C80"/>
    <w:pPr>
      <w:spacing w:before="120" w:after="240"/>
      <w:jc w:val="both"/>
    </w:pPr>
    <w:rPr>
      <w:rFonts w:ascii="Times New Roman" w:eastAsia="Times New Roman" w:hAnsi="Times New Roman" w:cs="Times New Roman"/>
      <w:sz w:val="22"/>
      <w:lang w:val="en-IE"/>
    </w:rPr>
  </w:style>
  <w:style w:type="paragraph" w:styleId="Heading1">
    <w:name w:val="heading 1"/>
    <w:basedOn w:val="Normal"/>
    <w:next w:val="Normal"/>
    <w:link w:val="Heading1Char"/>
    <w:qFormat/>
    <w:rsid w:val="00126C80"/>
    <w:pPr>
      <w:keepNext/>
      <w:pageBreakBefore/>
      <w:numPr>
        <w:numId w:val="1"/>
      </w:numPr>
      <w:spacing w:before="0" w:after="480"/>
      <w:ind w:left="357" w:hanging="357"/>
      <w:outlineLvl w:val="0"/>
    </w:pPr>
    <w:rPr>
      <w:rFonts w:ascii="Calibri" w:hAnsi="Calibri"/>
      <w:b/>
      <w:bCs/>
      <w:kern w:val="32"/>
      <w:sz w:val="44"/>
      <w:szCs w:val="32"/>
      <w:lang w:val="en-GB"/>
    </w:rPr>
  </w:style>
  <w:style w:type="paragraph" w:styleId="Heading2">
    <w:name w:val="heading 2"/>
    <w:basedOn w:val="Heading1"/>
    <w:next w:val="Normal"/>
    <w:link w:val="Heading2Char"/>
    <w:qFormat/>
    <w:rsid w:val="00126C80"/>
    <w:pPr>
      <w:pageBreakBefore w:val="0"/>
      <w:numPr>
        <w:ilvl w:val="1"/>
      </w:numPr>
      <w:tabs>
        <w:tab w:val="clear" w:pos="4121"/>
        <w:tab w:val="left" w:pos="540"/>
        <w:tab w:val="num" w:pos="576"/>
      </w:tabs>
      <w:spacing w:before="600" w:after="60"/>
      <w:ind w:left="578" w:hanging="578"/>
      <w:outlineLvl w:val="1"/>
    </w:pPr>
    <w:rPr>
      <w:sz w:val="36"/>
      <w:szCs w:val="28"/>
    </w:rPr>
  </w:style>
  <w:style w:type="paragraph" w:styleId="Heading3">
    <w:name w:val="heading 3"/>
    <w:basedOn w:val="Normal"/>
    <w:next w:val="Normal"/>
    <w:link w:val="Heading3Char"/>
    <w:qFormat/>
    <w:rsid w:val="00126C80"/>
    <w:pPr>
      <w:keepNext/>
      <w:numPr>
        <w:ilvl w:val="2"/>
        <w:numId w:val="1"/>
      </w:numPr>
      <w:tabs>
        <w:tab w:val="left" w:pos="540"/>
      </w:tabs>
      <w:spacing w:before="240" w:after="60"/>
      <w:outlineLvl w:val="2"/>
    </w:pPr>
    <w:rPr>
      <w:rFonts w:ascii="Arial" w:hAnsi="Arial"/>
      <w:b/>
      <w:bCs/>
      <w:szCs w:val="26"/>
      <w:lang w:val="en-GB"/>
    </w:rPr>
  </w:style>
  <w:style w:type="paragraph" w:styleId="Heading4">
    <w:name w:val="heading 4"/>
    <w:basedOn w:val="Normal"/>
    <w:next w:val="Normal"/>
    <w:link w:val="Heading4Char"/>
    <w:rsid w:val="00126C80"/>
    <w:pPr>
      <w:keepNext/>
      <w:numPr>
        <w:ilvl w:val="3"/>
        <w:numId w:val="1"/>
      </w:numPr>
      <w:spacing w:before="240" w:after="60"/>
      <w:outlineLvl w:val="3"/>
    </w:pPr>
    <w:rPr>
      <w:b/>
      <w:bCs/>
      <w:sz w:val="28"/>
      <w:szCs w:val="28"/>
    </w:rPr>
  </w:style>
  <w:style w:type="paragraph" w:styleId="Heading5">
    <w:name w:val="heading 5"/>
    <w:basedOn w:val="Normal"/>
    <w:next w:val="Normal"/>
    <w:link w:val="Heading5Char"/>
    <w:rsid w:val="00126C80"/>
    <w:pPr>
      <w:numPr>
        <w:ilvl w:val="4"/>
        <w:numId w:val="1"/>
      </w:numPr>
      <w:spacing w:before="240" w:after="60"/>
      <w:outlineLvl w:val="4"/>
    </w:pPr>
    <w:rPr>
      <w:b/>
      <w:bCs/>
      <w:i/>
      <w:iCs/>
      <w:sz w:val="26"/>
      <w:szCs w:val="26"/>
    </w:rPr>
  </w:style>
  <w:style w:type="paragraph" w:styleId="Heading6">
    <w:name w:val="heading 6"/>
    <w:basedOn w:val="Normal"/>
    <w:next w:val="Normal"/>
    <w:link w:val="Heading6Char"/>
    <w:rsid w:val="00126C80"/>
    <w:pPr>
      <w:numPr>
        <w:ilvl w:val="5"/>
        <w:numId w:val="1"/>
      </w:numPr>
      <w:spacing w:before="240" w:after="60"/>
      <w:outlineLvl w:val="5"/>
    </w:pPr>
    <w:rPr>
      <w:b/>
      <w:bCs/>
      <w:szCs w:val="22"/>
    </w:rPr>
  </w:style>
  <w:style w:type="paragraph" w:styleId="Heading7">
    <w:name w:val="heading 7"/>
    <w:basedOn w:val="Normal"/>
    <w:next w:val="Normal"/>
    <w:link w:val="Heading7Char"/>
    <w:rsid w:val="00126C80"/>
    <w:pPr>
      <w:numPr>
        <w:ilvl w:val="6"/>
        <w:numId w:val="1"/>
      </w:numPr>
      <w:spacing w:before="240" w:after="60"/>
      <w:outlineLvl w:val="6"/>
    </w:pPr>
    <w:rPr>
      <w:sz w:val="24"/>
    </w:rPr>
  </w:style>
  <w:style w:type="paragraph" w:styleId="Heading8">
    <w:name w:val="heading 8"/>
    <w:basedOn w:val="Normal"/>
    <w:next w:val="Normal"/>
    <w:link w:val="Heading8Char"/>
    <w:rsid w:val="00126C80"/>
    <w:pPr>
      <w:numPr>
        <w:ilvl w:val="7"/>
        <w:numId w:val="1"/>
      </w:numPr>
      <w:spacing w:before="240" w:after="60"/>
      <w:outlineLvl w:val="7"/>
    </w:pPr>
    <w:rPr>
      <w:i/>
      <w:iCs/>
      <w:sz w:val="24"/>
    </w:rPr>
  </w:style>
  <w:style w:type="paragraph" w:styleId="Heading9">
    <w:name w:val="heading 9"/>
    <w:basedOn w:val="Normal"/>
    <w:next w:val="Normal"/>
    <w:link w:val="Heading9Char"/>
    <w:rsid w:val="00126C80"/>
    <w:pPr>
      <w:numPr>
        <w:ilvl w:val="8"/>
        <w:numId w:val="1"/>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26C80"/>
    <w:rPr>
      <w:rFonts w:ascii="Calibri" w:eastAsia="Times New Roman" w:hAnsi="Calibri" w:cs="Times New Roman"/>
      <w:b/>
      <w:bCs/>
      <w:kern w:val="32"/>
      <w:sz w:val="44"/>
      <w:szCs w:val="32"/>
      <w:lang w:val="en-GB"/>
    </w:rPr>
  </w:style>
  <w:style w:type="character" w:customStyle="1" w:styleId="Heading2Char">
    <w:name w:val="Heading 2 Char"/>
    <w:basedOn w:val="DefaultParagraphFont"/>
    <w:link w:val="Heading2"/>
    <w:rsid w:val="00126C80"/>
    <w:rPr>
      <w:rFonts w:ascii="Calibri" w:eastAsia="Times New Roman" w:hAnsi="Calibri" w:cs="Times New Roman"/>
      <w:b/>
      <w:bCs/>
      <w:kern w:val="32"/>
      <w:sz w:val="36"/>
      <w:szCs w:val="28"/>
      <w:lang w:val="en-GB"/>
    </w:rPr>
  </w:style>
  <w:style w:type="character" w:customStyle="1" w:styleId="Heading3Char">
    <w:name w:val="Heading 3 Char"/>
    <w:basedOn w:val="DefaultParagraphFont"/>
    <w:link w:val="Heading3"/>
    <w:rsid w:val="00126C80"/>
    <w:rPr>
      <w:rFonts w:ascii="Arial" w:eastAsia="Times New Roman" w:hAnsi="Arial" w:cs="Times New Roman"/>
      <w:b/>
      <w:bCs/>
      <w:sz w:val="22"/>
      <w:szCs w:val="26"/>
      <w:lang w:val="en-GB"/>
    </w:rPr>
  </w:style>
  <w:style w:type="character" w:customStyle="1" w:styleId="Heading4Char">
    <w:name w:val="Heading 4 Char"/>
    <w:basedOn w:val="DefaultParagraphFont"/>
    <w:link w:val="Heading4"/>
    <w:rsid w:val="00126C80"/>
    <w:rPr>
      <w:rFonts w:ascii="Times New Roman" w:eastAsia="Times New Roman" w:hAnsi="Times New Roman" w:cs="Times New Roman"/>
      <w:b/>
      <w:bCs/>
      <w:sz w:val="28"/>
      <w:szCs w:val="28"/>
      <w:lang w:val="en-IE"/>
    </w:rPr>
  </w:style>
  <w:style w:type="character" w:customStyle="1" w:styleId="Heading5Char">
    <w:name w:val="Heading 5 Char"/>
    <w:basedOn w:val="DefaultParagraphFont"/>
    <w:link w:val="Heading5"/>
    <w:rsid w:val="00126C80"/>
    <w:rPr>
      <w:rFonts w:ascii="Times New Roman" w:eastAsia="Times New Roman" w:hAnsi="Times New Roman" w:cs="Times New Roman"/>
      <w:b/>
      <w:bCs/>
      <w:i/>
      <w:iCs/>
      <w:sz w:val="26"/>
      <w:szCs w:val="26"/>
      <w:lang w:val="en-IE"/>
    </w:rPr>
  </w:style>
  <w:style w:type="character" w:customStyle="1" w:styleId="Heading6Char">
    <w:name w:val="Heading 6 Char"/>
    <w:basedOn w:val="DefaultParagraphFont"/>
    <w:link w:val="Heading6"/>
    <w:rsid w:val="00126C80"/>
    <w:rPr>
      <w:rFonts w:ascii="Times New Roman" w:eastAsia="Times New Roman" w:hAnsi="Times New Roman" w:cs="Times New Roman"/>
      <w:b/>
      <w:bCs/>
      <w:sz w:val="22"/>
      <w:szCs w:val="22"/>
      <w:lang w:val="en-IE"/>
    </w:rPr>
  </w:style>
  <w:style w:type="character" w:customStyle="1" w:styleId="Heading7Char">
    <w:name w:val="Heading 7 Char"/>
    <w:basedOn w:val="DefaultParagraphFont"/>
    <w:link w:val="Heading7"/>
    <w:rsid w:val="00126C80"/>
    <w:rPr>
      <w:rFonts w:ascii="Times New Roman" w:eastAsia="Times New Roman" w:hAnsi="Times New Roman" w:cs="Times New Roman"/>
      <w:lang w:val="en-IE"/>
    </w:rPr>
  </w:style>
  <w:style w:type="character" w:customStyle="1" w:styleId="Heading8Char">
    <w:name w:val="Heading 8 Char"/>
    <w:basedOn w:val="DefaultParagraphFont"/>
    <w:link w:val="Heading8"/>
    <w:rsid w:val="00126C80"/>
    <w:rPr>
      <w:rFonts w:ascii="Times New Roman" w:eastAsia="Times New Roman" w:hAnsi="Times New Roman" w:cs="Times New Roman"/>
      <w:i/>
      <w:iCs/>
      <w:lang w:val="en-IE"/>
    </w:rPr>
  </w:style>
  <w:style w:type="character" w:customStyle="1" w:styleId="Heading9Char">
    <w:name w:val="Heading 9 Char"/>
    <w:basedOn w:val="DefaultParagraphFont"/>
    <w:link w:val="Heading9"/>
    <w:rsid w:val="00126C80"/>
    <w:rPr>
      <w:rFonts w:ascii="Arial" w:eastAsia="Times New Roman" w:hAnsi="Arial" w:cs="Times New Roman"/>
      <w:sz w:val="22"/>
      <w:szCs w:val="22"/>
      <w:lang w:val="en-IE"/>
    </w:rPr>
  </w:style>
  <w:style w:type="paragraph" w:customStyle="1" w:styleId="Author">
    <w:name w:val="Author"/>
    <w:basedOn w:val="Subtitle"/>
    <w:qFormat/>
    <w:rsid w:val="00126C80"/>
    <w:pPr>
      <w:spacing w:before="480" w:after="240"/>
    </w:pPr>
  </w:style>
  <w:style w:type="paragraph" w:styleId="Subtitle">
    <w:name w:val="Subtitle"/>
    <w:aliases w:val="Project Title"/>
    <w:basedOn w:val="Normal"/>
    <w:link w:val="SubtitleChar"/>
    <w:qFormat/>
    <w:rsid w:val="00126C80"/>
    <w:pPr>
      <w:spacing w:before="360" w:after="360"/>
      <w:jc w:val="center"/>
      <w:outlineLvl w:val="1"/>
    </w:pPr>
    <w:rPr>
      <w:rFonts w:ascii="Calibri" w:hAnsi="Calibri"/>
      <w:b/>
      <w:bCs/>
      <w:sz w:val="48"/>
    </w:rPr>
  </w:style>
  <w:style w:type="character" w:customStyle="1" w:styleId="SubtitleChar">
    <w:name w:val="Subtitle Char"/>
    <w:aliases w:val="Project Title Char"/>
    <w:basedOn w:val="DefaultParagraphFont"/>
    <w:link w:val="Subtitle"/>
    <w:rsid w:val="00126C80"/>
    <w:rPr>
      <w:rFonts w:ascii="Calibri" w:eastAsia="Times New Roman" w:hAnsi="Calibri" w:cs="Times New Roman"/>
      <w:b/>
      <w:bCs/>
      <w:sz w:val="48"/>
      <w:lang w:val="en-IE"/>
    </w:rPr>
  </w:style>
  <w:style w:type="paragraph" w:styleId="Header">
    <w:name w:val="header"/>
    <w:basedOn w:val="Normal"/>
    <w:link w:val="HeaderChar"/>
    <w:semiHidden/>
    <w:rsid w:val="00126C80"/>
    <w:pPr>
      <w:tabs>
        <w:tab w:val="center" w:pos="4320"/>
        <w:tab w:val="right" w:pos="8640"/>
      </w:tabs>
      <w:spacing w:before="0" w:after="0"/>
    </w:pPr>
    <w:rPr>
      <w:sz w:val="18"/>
    </w:rPr>
  </w:style>
  <w:style w:type="character" w:customStyle="1" w:styleId="HeaderChar">
    <w:name w:val="Header Char"/>
    <w:basedOn w:val="DefaultParagraphFont"/>
    <w:link w:val="Header"/>
    <w:semiHidden/>
    <w:rsid w:val="00126C80"/>
    <w:rPr>
      <w:rFonts w:ascii="Times New Roman" w:eastAsia="Times New Roman" w:hAnsi="Times New Roman" w:cs="Times New Roman"/>
      <w:sz w:val="18"/>
      <w:lang w:val="en-IE"/>
    </w:rPr>
  </w:style>
  <w:style w:type="paragraph" w:styleId="Footer">
    <w:name w:val="footer"/>
    <w:basedOn w:val="Normal"/>
    <w:link w:val="FooterChar"/>
    <w:semiHidden/>
    <w:rsid w:val="00126C80"/>
    <w:pPr>
      <w:tabs>
        <w:tab w:val="center" w:pos="4320"/>
        <w:tab w:val="right" w:pos="8640"/>
      </w:tabs>
      <w:spacing w:before="0" w:after="0"/>
    </w:pPr>
    <w:rPr>
      <w:sz w:val="18"/>
    </w:rPr>
  </w:style>
  <w:style w:type="character" w:customStyle="1" w:styleId="FooterChar">
    <w:name w:val="Footer Char"/>
    <w:basedOn w:val="DefaultParagraphFont"/>
    <w:link w:val="Footer"/>
    <w:semiHidden/>
    <w:rsid w:val="00126C80"/>
    <w:rPr>
      <w:rFonts w:ascii="Times New Roman" w:eastAsia="Times New Roman" w:hAnsi="Times New Roman" w:cs="Times New Roman"/>
      <w:sz w:val="18"/>
      <w:lang w:val="en-IE"/>
    </w:rPr>
  </w:style>
  <w:style w:type="paragraph" w:styleId="TOC1">
    <w:name w:val="toc 1"/>
    <w:basedOn w:val="Normal"/>
    <w:next w:val="Normal"/>
    <w:autoRedefine/>
    <w:uiPriority w:val="39"/>
    <w:rsid w:val="00126C80"/>
    <w:pPr>
      <w:tabs>
        <w:tab w:val="left" w:pos="442"/>
        <w:tab w:val="right" w:leader="dot" w:pos="8630"/>
      </w:tabs>
      <w:jc w:val="left"/>
    </w:pPr>
    <w:rPr>
      <w:rFonts w:ascii="Arial" w:hAnsi="Arial"/>
      <w:bCs/>
      <w:lang w:val="en-GB"/>
    </w:rPr>
  </w:style>
  <w:style w:type="paragraph" w:styleId="TOC2">
    <w:name w:val="toc 2"/>
    <w:basedOn w:val="Normal"/>
    <w:next w:val="Normal"/>
    <w:autoRedefine/>
    <w:uiPriority w:val="39"/>
    <w:rsid w:val="00126C80"/>
    <w:pPr>
      <w:tabs>
        <w:tab w:val="left" w:pos="1083"/>
        <w:tab w:val="right" w:leader="dot" w:pos="8647"/>
      </w:tabs>
      <w:ind w:left="442"/>
      <w:jc w:val="left"/>
    </w:pPr>
    <w:rPr>
      <w:rFonts w:ascii="Arial" w:hAnsi="Arial"/>
      <w:sz w:val="20"/>
    </w:rPr>
  </w:style>
  <w:style w:type="character" w:styleId="Hyperlink">
    <w:name w:val="Hyperlink"/>
    <w:uiPriority w:val="99"/>
    <w:qFormat/>
    <w:rsid w:val="00126C80"/>
    <w:rPr>
      <w:color w:val="0000FF"/>
      <w:u w:val="single"/>
    </w:rPr>
  </w:style>
  <w:style w:type="paragraph" w:customStyle="1" w:styleId="AbstractHeading">
    <w:name w:val="Abstract Heading"/>
    <w:basedOn w:val="Heading1"/>
    <w:next w:val="Normal"/>
    <w:rsid w:val="00126C80"/>
    <w:pPr>
      <w:numPr>
        <w:numId w:val="0"/>
      </w:numPr>
    </w:pPr>
  </w:style>
  <w:style w:type="paragraph" w:customStyle="1" w:styleId="Bullet">
    <w:name w:val="Bullet"/>
    <w:basedOn w:val="Normal"/>
    <w:rsid w:val="00126C80"/>
    <w:pPr>
      <w:numPr>
        <w:numId w:val="2"/>
      </w:numPr>
    </w:pPr>
    <w:rPr>
      <w:lang w:val="en-GB"/>
    </w:rPr>
  </w:style>
  <w:style w:type="paragraph" w:customStyle="1" w:styleId="Code">
    <w:name w:val="Code"/>
    <w:basedOn w:val="Normal"/>
    <w:qFormat/>
    <w:rsid w:val="00126C80"/>
    <w:pPr>
      <w:spacing w:before="0" w:after="0"/>
    </w:pPr>
    <w:rPr>
      <w:rFonts w:ascii="Courier New" w:hAnsi="Courier New"/>
      <w:sz w:val="20"/>
      <w:lang w:val="en-GB"/>
    </w:rPr>
  </w:style>
  <w:style w:type="paragraph" w:customStyle="1" w:styleId="Numbered">
    <w:name w:val="Numbered"/>
    <w:basedOn w:val="Bullet"/>
    <w:qFormat/>
    <w:rsid w:val="00126C80"/>
    <w:pPr>
      <w:numPr>
        <w:numId w:val="3"/>
      </w:numPr>
    </w:pPr>
  </w:style>
  <w:style w:type="paragraph" w:styleId="BlockText">
    <w:name w:val="Block Text"/>
    <w:basedOn w:val="Normal"/>
    <w:semiHidden/>
    <w:rsid w:val="00126C80"/>
    <w:pPr>
      <w:spacing w:before="840" w:after="840"/>
      <w:ind w:left="1077" w:right="1077"/>
      <w:jc w:val="center"/>
    </w:pPr>
  </w:style>
  <w:style w:type="paragraph" w:customStyle="1" w:styleId="Dept">
    <w:name w:val="Dept"/>
    <w:basedOn w:val="Normal"/>
    <w:rsid w:val="00126C80"/>
    <w:pPr>
      <w:jc w:val="center"/>
    </w:pPr>
  </w:style>
  <w:style w:type="paragraph" w:customStyle="1" w:styleId="UnnumberedHeading1">
    <w:name w:val="Unnumbered Heading 1"/>
    <w:basedOn w:val="Normal"/>
    <w:link w:val="UnnumberedHeading1Char"/>
    <w:qFormat/>
    <w:rsid w:val="00126C80"/>
    <w:pPr>
      <w:pageBreakBefore/>
      <w:spacing w:before="0"/>
      <w:outlineLvl w:val="0"/>
    </w:pPr>
    <w:rPr>
      <w:rFonts w:ascii="Calibri" w:hAnsi="Calibri"/>
      <w:b/>
      <w:sz w:val="44"/>
    </w:rPr>
  </w:style>
  <w:style w:type="paragraph" w:customStyle="1" w:styleId="Figure">
    <w:name w:val="Figure"/>
    <w:basedOn w:val="Normal"/>
    <w:link w:val="FigureChar"/>
    <w:qFormat/>
    <w:rsid w:val="00126C80"/>
    <w:pPr>
      <w:numPr>
        <w:numId w:val="6"/>
      </w:numPr>
      <w:spacing w:after="360"/>
      <w:jc w:val="center"/>
    </w:pPr>
    <w:rPr>
      <w:i/>
      <w:iCs/>
      <w:lang w:val="en-GB"/>
    </w:rPr>
  </w:style>
  <w:style w:type="character" w:customStyle="1" w:styleId="UnnumberedHeading1Char">
    <w:name w:val="Unnumbered Heading 1 Char"/>
    <w:link w:val="UnnumberedHeading1"/>
    <w:rsid w:val="00126C80"/>
    <w:rPr>
      <w:rFonts w:ascii="Calibri" w:eastAsia="Times New Roman" w:hAnsi="Calibri" w:cs="Times New Roman"/>
      <w:b/>
      <w:sz w:val="44"/>
      <w:lang w:val="en-IE"/>
    </w:rPr>
  </w:style>
  <w:style w:type="paragraph" w:customStyle="1" w:styleId="BulletedList">
    <w:name w:val="Bulleted List"/>
    <w:basedOn w:val="Bullet"/>
    <w:link w:val="BulletedListChar"/>
    <w:qFormat/>
    <w:rsid w:val="00126C80"/>
    <w:rPr>
      <w:bCs/>
    </w:rPr>
  </w:style>
  <w:style w:type="paragraph" w:styleId="NormalWeb">
    <w:name w:val="Normal (Web)"/>
    <w:basedOn w:val="Normal"/>
    <w:uiPriority w:val="99"/>
    <w:unhideWhenUsed/>
    <w:rsid w:val="00126C80"/>
    <w:pPr>
      <w:spacing w:before="100" w:beforeAutospacing="1" w:after="100" w:afterAutospacing="1"/>
      <w:jc w:val="left"/>
    </w:pPr>
    <w:rPr>
      <w:sz w:val="24"/>
      <w:lang w:val="en-IN" w:eastAsia="en-GB"/>
    </w:rPr>
  </w:style>
  <w:style w:type="character" w:customStyle="1" w:styleId="FigureChar">
    <w:name w:val="Figure Char"/>
    <w:link w:val="Figure"/>
    <w:rsid w:val="00126C80"/>
    <w:rPr>
      <w:rFonts w:ascii="Times New Roman" w:eastAsia="Times New Roman" w:hAnsi="Times New Roman" w:cs="Times New Roman"/>
      <w:i/>
      <w:iCs/>
      <w:sz w:val="22"/>
      <w:lang w:val="en-GB"/>
    </w:rPr>
  </w:style>
  <w:style w:type="character" w:customStyle="1" w:styleId="BulletedListChar">
    <w:name w:val="Bulleted List Char"/>
    <w:link w:val="BulletedList"/>
    <w:rsid w:val="00126C80"/>
    <w:rPr>
      <w:rFonts w:ascii="Times New Roman" w:eastAsia="Times New Roman" w:hAnsi="Times New Roman" w:cs="Times New Roman"/>
      <w:bCs/>
      <w:sz w:val="22"/>
      <w:lang w:val="en-GB"/>
    </w:rPr>
  </w:style>
  <w:style w:type="character" w:customStyle="1" w:styleId="apple-converted-space">
    <w:name w:val="apple-converted-space"/>
    <w:basedOn w:val="DefaultParagraphFont"/>
    <w:rsid w:val="002D50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052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3F587492A1B04894E525E2FE5168B3" ma:contentTypeVersion="9" ma:contentTypeDescription="Create a new document." ma:contentTypeScope="" ma:versionID="500d524d724b60208095b3b6d97cbbec">
  <xsd:schema xmlns:xsd="http://www.w3.org/2001/XMLSchema" xmlns:xs="http://www.w3.org/2001/XMLSchema" xmlns:p="http://schemas.microsoft.com/office/2006/metadata/properties" xmlns:ns2="59b5ee71-2bfc-4bc1-88f7-ba596f37617c" xmlns:ns3="db006866-85db-479e-845d-72725c018b91" targetNamespace="http://schemas.microsoft.com/office/2006/metadata/properties" ma:root="true" ma:fieldsID="dd80fc356a4fcdd7e81ba9907417c80b" ns2:_="" ns3:_="">
    <xsd:import namespace="59b5ee71-2bfc-4bc1-88f7-ba596f37617c"/>
    <xsd:import namespace="db006866-85db-479e-845d-72725c018b91"/>
    <xsd:element name="properties">
      <xsd:complexType>
        <xsd:sequence>
          <xsd:element name="documentManagement">
            <xsd:complexType>
              <xsd:all>
                <xsd:element ref="ns2:ReferenceId" minOccurs="0"/>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b5ee71-2bfc-4bc1-88f7-ba596f37617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006866-85db-479e-845d-72725c018b91"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c518aec-bf2f-4efc-83b6-ce42a1b7c8d1}" ma:internalName="TaxCatchAll" ma:showField="CatchAllData" ma:web="db006866-85db-479e-845d-72725c018b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9B11B-9AED-4DB9-8DBC-75192ED08B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b5ee71-2bfc-4bc1-88f7-ba596f37617c"/>
    <ds:schemaRef ds:uri="db006866-85db-479e-845d-72725c018b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E0D17E-047C-4A4F-A41C-5032D498793A}">
  <ds:schemaRefs>
    <ds:schemaRef ds:uri="http://schemas.microsoft.com/sharepoint/v3/contenttype/forms"/>
  </ds:schemaRefs>
</ds:datastoreItem>
</file>

<file path=customXml/itemProps3.xml><?xml version="1.0" encoding="utf-8"?>
<ds:datastoreItem xmlns:ds="http://schemas.openxmlformats.org/officeDocument/2006/customXml" ds:itemID="{C39B3E4F-52D0-4CA8-9219-6CFFC994DE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19</Pages>
  <Words>469</Words>
  <Characters>2677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Office365</dc:creator>
  <cp:keywords/>
  <dc:description/>
  <cp:lastModifiedBy>Admin</cp:lastModifiedBy>
  <cp:revision>6</cp:revision>
  <dcterms:created xsi:type="dcterms:W3CDTF">2026-10-15T04:08:00Z</dcterms:created>
  <dcterms:modified xsi:type="dcterms:W3CDTF">2026-10-15T04:20:00Z</dcterms:modified>
</cp:coreProperties>
</file>