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AI Agent Development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 Future of Autonomous Business Operations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Shift from static software to a dynamic AI digital workforce. We engineer intelligent systems that execute multi-step reasoning, manage complex tools, and seamlessly drive autonomous business processes.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="300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Schedule Your AI Agent Consultation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Deploying Your Intelligent Architecture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Beyond Basic Task Automation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Traditional software handles single, rigid actions, but our AI agent development focuses on entities that understand high-level operational goals. They execute complete AI workflow automation by planning, executing, and course-correcting dynamically in real-time.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Proactive Enterprise Intelligence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We build enterprise AI agents capable of continuously monitoring real-time data to identify market opportunities, model financial impact, and execute strategic operational decisions autonomously to generate net-new revenue.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Seamless Tool and API Integration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These autonomous AI workers do not operate in a silo. We securely connect them directly to your existing ERP systems, CRMs, and proprietary databases so they can natively trigger actions across your entire enterprise technology stack.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Engineered With Advanced Tech Stacks</w:t>
      </w:r>
    </w:p>
    <w:p w:rsidR="00000000" w:rsidDel="00000000" w:rsidP="00000000" w:rsidRDefault="00000000" w:rsidRPr="00000000" w14:paraId="0000000E">
      <w:pPr>
        <w:spacing w:before="0" w:line="300" w:lineRule="auto"/>
        <w:rPr/>
      </w:pPr>
      <w:r w:rsidDel="00000000" w:rsidR="00000000" w:rsidRPr="00000000">
        <w:rPr>
          <w:rtl w:val="0"/>
        </w:rPr>
        <w:t xml:space="preserve">LangChain &amp; LlamaIndex Orchestration</w:t>
      </w:r>
    </w:p>
    <w:p w:rsidR="00000000" w:rsidDel="00000000" w:rsidP="00000000" w:rsidRDefault="00000000" w:rsidRPr="00000000" w14:paraId="0000000F">
      <w:pPr>
        <w:spacing w:before="0" w:line="300" w:lineRule="auto"/>
        <w:rPr/>
      </w:pPr>
      <w:r w:rsidDel="00000000" w:rsidR="00000000" w:rsidRPr="00000000">
        <w:rPr>
          <w:rtl w:val="0"/>
        </w:rPr>
        <w:t xml:space="preserve">Pinecone &amp; Milvus Vector Databases</w:t>
      </w:r>
    </w:p>
    <w:p w:rsidR="00000000" w:rsidDel="00000000" w:rsidP="00000000" w:rsidRDefault="00000000" w:rsidRPr="00000000" w14:paraId="00000010">
      <w:pPr>
        <w:spacing w:before="0" w:line="300" w:lineRule="auto"/>
        <w:rPr/>
      </w:pPr>
      <w:r w:rsidDel="00000000" w:rsidR="00000000" w:rsidRPr="00000000">
        <w:rPr>
          <w:rtl w:val="0"/>
        </w:rPr>
        <w:t xml:space="preserve">Advanced Proprietary and Open-Source LLMs</w:t>
      </w:r>
    </w:p>
    <w:p w:rsidR="00000000" w:rsidDel="00000000" w:rsidP="00000000" w:rsidRDefault="00000000" w:rsidRPr="00000000" w14:paraId="00000011">
      <w:pPr>
        <w:spacing w:before="0" w:line="300" w:lineRule="auto"/>
        <w:rPr/>
      </w:pPr>
      <w:r w:rsidDel="00000000" w:rsidR="00000000" w:rsidRPr="00000000">
        <w:rPr>
          <w:rtl w:val="0"/>
        </w:rPr>
        <w:t xml:space="preserve">Secure Enterprise API Gateways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Comprehensive Agentic Capabilities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Multi-Step Planning and Execution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Our custom AI assistants can break down complex organizational mandates—such as end-to-end vendor onboarding—into sequential tasks, autonomously adapting to unexpected system errors or missing information streams.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Intelligent Automation Services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We restructure massive operational overhead by deploying intelligent automation services to handle heavy, repetitive workflows, moving far beyond reactive data analysis into full-scale, proactive problem resolution.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End-to-End Workflow Independence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By shifting to autonomous business processes, highly skilled human employees are completely freed from repetitive operational friction, allowing them to focus exclusively on high-value strategic growth and creativity.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Trust, Governance, and Security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Strict Safety and Alignment Protocols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We implement rigorous operational boundaries, ensuring every action taken by your digital workforce remains strictly within defined corporate constraints, financial limits, and ethical guidelines to prevent unintended errors.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Full Transparency and Auditability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Every computational decision made by your enterprise AI agents is meticulously logged in real-time, providing absolute clarity for internal stakeholders and dramatically simplifying external compliance efforts.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Scalable Cloud-Native Architecture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We architect these systems natively within your secure cloud environment, guaranteeing they can handle massive peak loads seamlessly while cleanly integrating with your existing MLOps pipelines for continuous improvement.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Discover The Next Step of Your AI Journey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Scale your operations exponentially by integrating reliable, highly governed autonomous systems. Partner with OPHO Tech to build your next-generation operational architecture today.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0" w:line="300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Schedule Your Agent Development Audit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0"/>
          <w:szCs w:val="20"/>
          <w:rtl w:val="0"/>
        </w:rPr>
        <w:t xml:space="preserve">Next Service: Cyber Security Solutions →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