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00" w:lineRule="auto"/>
        <w:rPr>
          <w:rFonts w:ascii="Arial" w:cs="Arial" w:eastAsia="Arial" w:hAnsi="Arial"/>
          <w:color w:val="000000"/>
          <w:sz w:val="32"/>
          <w:szCs w:val="32"/>
        </w:rPr>
      </w:pPr>
      <w:bookmarkStart w:colFirst="0" w:colLast="0" w:name="_i11y0eoiiac9" w:id="0"/>
      <w:bookmarkEnd w:id="0"/>
      <w:r w:rsidDel="00000000" w:rsidR="00000000" w:rsidRPr="00000000">
        <w:rPr>
          <w:rFonts w:ascii="Arial" w:cs="Arial" w:eastAsia="Arial" w:hAnsi="Arial"/>
          <w:color w:val="000000"/>
          <w:sz w:val="32"/>
          <w:szCs w:val="32"/>
          <w:rtl w:val="0"/>
        </w:rPr>
        <w:t xml:space="preserve">Data Structuring &amp; Monetization</w:t>
      </w:r>
    </w:p>
    <w:p w:rsidR="00000000" w:rsidDel="00000000" w:rsidP="00000000" w:rsidRDefault="00000000" w:rsidRPr="00000000" w14:paraId="00000002">
      <w:pPr>
        <w:pStyle w:val="Heading2"/>
        <w:spacing w:before="0" w:line="300" w:lineRule="auto"/>
        <w:rPr>
          <w:rFonts w:ascii="Arial" w:cs="Arial" w:eastAsia="Arial" w:hAnsi="Arial"/>
          <w:color w:val="000000"/>
        </w:rPr>
      </w:pPr>
      <w:bookmarkStart w:colFirst="0" w:colLast="0" w:name="_101fbc2vdt74" w:id="1"/>
      <w:bookmarkEnd w:id="1"/>
      <w:r w:rsidDel="00000000" w:rsidR="00000000" w:rsidRPr="00000000">
        <w:rPr>
          <w:rFonts w:ascii="Arial" w:cs="Arial" w:eastAsia="Arial" w:hAnsi="Arial"/>
          <w:color w:val="000000"/>
          <w:rtl w:val="0"/>
        </w:rPr>
        <w:t xml:space="preserve">Turn Fragmented Information into Investment-Grade Assets</w:t>
      </w:r>
    </w:p>
    <w:p w:rsidR="00000000" w:rsidDel="00000000" w:rsidP="00000000" w:rsidRDefault="00000000" w:rsidRPr="00000000" w14:paraId="00000003">
      <w:pPr>
        <w:spacing w:line="360" w:lineRule="auto"/>
        <w:rPr/>
      </w:pPr>
      <w:r w:rsidDel="00000000" w:rsidR="00000000" w:rsidRPr="00000000">
        <w:rPr>
          <w:rFonts w:ascii="Arial" w:cs="Arial" w:eastAsia="Arial" w:hAnsi="Arial"/>
          <w:color w:val="000000"/>
          <w:sz w:val="24"/>
          <w:szCs w:val="24"/>
          <w:rtl w:val="0"/>
        </w:rPr>
        <w:t xml:space="preserve">Your enterprise is sitting on decades of unorganized data.</w:t>
      </w:r>
      <w:r w:rsidDel="00000000" w:rsidR="00000000" w:rsidRPr="00000000">
        <w:rPr>
          <w:color w:val="000000"/>
          <w:sz w:val="24"/>
          <w:szCs w:val="24"/>
          <w:rtl w:val="0"/>
        </w:rPr>
        <w:t xml:space="preserve"> </w:t>
      </w:r>
      <w:r w:rsidDel="00000000" w:rsidR="00000000" w:rsidRPr="00000000">
        <w:rPr>
          <w:rFonts w:ascii="Arial" w:cs="Arial" w:eastAsia="Arial" w:hAnsi="Arial"/>
          <w:color w:val="000000"/>
          <w:sz w:val="24"/>
          <w:szCs w:val="24"/>
          <w:rtl w:val="0"/>
        </w:rPr>
        <w:t xml:space="preserve">We engineer scalable data architectures that shift your infrastructure from an operational cost center into a high-margin revenue stream.</w:t>
      </w: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450" w:line="300"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Consult Our Data Architects</w:t>
      </w:r>
    </w:p>
    <w:p w:rsidR="00000000" w:rsidDel="00000000" w:rsidP="00000000" w:rsidRDefault="00000000" w:rsidRPr="00000000" w14:paraId="00000005">
      <w:pPr>
        <w:pStyle w:val="Heading2"/>
        <w:spacing w:after="240" w:line="300" w:lineRule="auto"/>
        <w:rPr>
          <w:rFonts w:ascii="Arial" w:cs="Arial" w:eastAsia="Arial" w:hAnsi="Arial"/>
          <w:color w:val="000000"/>
        </w:rPr>
      </w:pPr>
      <w:bookmarkStart w:colFirst="0" w:colLast="0" w:name="_gb36b6ymqdst" w:id="2"/>
      <w:bookmarkEnd w:id="2"/>
      <w:r w:rsidDel="00000000" w:rsidR="00000000" w:rsidRPr="00000000">
        <w:rPr>
          <w:rFonts w:ascii="Arial" w:cs="Arial" w:eastAsia="Arial" w:hAnsi="Arial"/>
          <w:color w:val="000000"/>
          <w:rtl w:val="0"/>
        </w:rPr>
        <w:t xml:space="preserve">The Foundation of Trust: Data Readiness</w:t>
      </w:r>
    </w:p>
    <w:p w:rsidR="00000000" w:rsidDel="00000000" w:rsidP="00000000" w:rsidRDefault="00000000" w:rsidRPr="00000000" w14:paraId="00000006">
      <w:pPr>
        <w:pStyle w:val="Heading3"/>
        <w:spacing w:before="0" w:line="300" w:lineRule="auto"/>
        <w:rPr>
          <w:rFonts w:ascii="Arial" w:cs="Arial" w:eastAsia="Arial" w:hAnsi="Arial"/>
          <w:color w:val="000000"/>
        </w:rPr>
      </w:pPr>
      <w:bookmarkStart w:colFirst="0" w:colLast="0" w:name="_ydz4w6iasz1u" w:id="3"/>
      <w:bookmarkEnd w:id="3"/>
      <w:r w:rsidDel="00000000" w:rsidR="00000000" w:rsidRPr="00000000">
        <w:rPr>
          <w:rFonts w:ascii="Arial" w:cs="Arial" w:eastAsia="Arial" w:hAnsi="Arial"/>
          <w:color w:val="000000"/>
          <w:rtl w:val="0"/>
        </w:rPr>
        <w:t xml:space="preserve">Core Philosophy</w:t>
      </w:r>
    </w:p>
    <w:p w:rsidR="00000000" w:rsidDel="00000000" w:rsidP="00000000" w:rsidRDefault="00000000" w:rsidRPr="00000000" w14:paraId="00000007">
      <w:pPr>
        <w:pStyle w:val="Heading3"/>
        <w:rPr/>
      </w:pPr>
      <w:bookmarkStart w:colFirst="0" w:colLast="0" w:name="_qrk4sei3jocl" w:id="4"/>
      <w:bookmarkEnd w:id="4"/>
      <w:r w:rsidDel="00000000" w:rsidR="00000000" w:rsidRPr="00000000">
        <w:rPr>
          <w:rtl w:val="0"/>
        </w:rPr>
        <w:t xml:space="preserve">No Deployment Into Chaos</w:t>
      </w:r>
    </w:p>
    <w:p w:rsidR="00000000" w:rsidDel="00000000" w:rsidP="00000000" w:rsidRDefault="00000000" w:rsidRPr="00000000" w14:paraId="00000008">
      <w:pPr>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Most enterprise data initiatives fail because they attempt to apply advanced machine learning or monetization strategies to fragmented, unverified, and siloed databases.</w:t>
      </w:r>
    </w:p>
    <w:p w:rsidR="00000000" w:rsidDel="00000000" w:rsidP="00000000" w:rsidRDefault="00000000" w:rsidRPr="00000000" w14:paraId="00000009">
      <w:pPr>
        <w:pStyle w:val="Heading3"/>
        <w:rPr/>
      </w:pPr>
      <w:bookmarkStart w:colFirst="0" w:colLast="0" w:name="_z1sket7bj9u7" w:id="5"/>
      <w:bookmarkEnd w:id="5"/>
      <w:r w:rsidDel="00000000" w:rsidR="00000000" w:rsidRPr="00000000">
        <w:rPr>
          <w:rtl w:val="0"/>
        </w:rPr>
        <w:t xml:space="preserve">Strategic Value Creation</w:t>
      </w:r>
    </w:p>
    <w:p w:rsidR="00000000" w:rsidDel="00000000" w:rsidP="00000000" w:rsidRDefault="00000000" w:rsidRPr="00000000" w14:paraId="0000000A">
      <w:pPr>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Data monetization is not simply a technology upgrade; it is a fundamental, structural shift in how your company creates value, secures a competitive edge, and interacts with the market.</w:t>
      </w:r>
    </w:p>
    <w:p w:rsidR="00000000" w:rsidDel="00000000" w:rsidP="00000000" w:rsidRDefault="00000000" w:rsidRPr="00000000" w14:paraId="0000000B">
      <w:pPr>
        <w:pStyle w:val="Heading3"/>
        <w:rPr/>
      </w:pPr>
      <w:bookmarkStart w:colFirst="0" w:colLast="0" w:name="_ifesptekctf5" w:id="6"/>
      <w:bookmarkEnd w:id="6"/>
      <w:r w:rsidDel="00000000" w:rsidR="00000000" w:rsidRPr="00000000">
        <w:rPr>
          <w:rtl w:val="0"/>
        </w:rPr>
        <w:t xml:space="preserve">Strict Reliability</w:t>
      </w:r>
    </w:p>
    <w:p w:rsidR="00000000" w:rsidDel="00000000" w:rsidP="00000000" w:rsidRDefault="00000000" w:rsidRPr="00000000" w14:paraId="0000000C">
      <w:pPr>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Before your data can drive high-impact AI models or generate direct revenue through external products, it must be strictly reliable and ethically governed.</w:t>
      </w:r>
    </w:p>
    <w:p w:rsidR="00000000" w:rsidDel="00000000" w:rsidP="00000000" w:rsidRDefault="00000000" w:rsidRPr="00000000" w14:paraId="0000000D">
      <w:pPr>
        <w:pStyle w:val="Heading3"/>
        <w:rPr/>
      </w:pPr>
      <w:bookmarkStart w:colFirst="0" w:colLast="0" w:name="_26nbuo1vp40o" w:id="7"/>
      <w:bookmarkEnd w:id="7"/>
      <w:r w:rsidDel="00000000" w:rsidR="00000000" w:rsidRPr="00000000">
        <w:rPr>
          <w:rtl w:val="0"/>
        </w:rPr>
        <w:t xml:space="preserve">Engineering Precision</w:t>
      </w:r>
    </w:p>
    <w:p w:rsidR="00000000" w:rsidDel="00000000" w:rsidP="00000000" w:rsidRDefault="00000000" w:rsidRPr="00000000" w14:paraId="0000000E">
      <w:pPr>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utilize a comprehensive engineering framework, driven by a team of Senior Data Architects and Data Scientists, designed to convert chaotic, legacy databases into secure, compliant data products.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1a202c"/>
          <w:sz w:val="22"/>
          <w:szCs w:val="22"/>
        </w:rPr>
      </w:pPr>
      <w:r w:rsidDel="00000000" w:rsidR="00000000" w:rsidRPr="00000000">
        <w:rPr>
          <w:rtl w:val="0"/>
        </w:rPr>
      </w:r>
    </w:p>
    <w:p w:rsidR="00000000" w:rsidDel="00000000" w:rsidP="00000000" w:rsidRDefault="00000000" w:rsidRPr="00000000" w14:paraId="00000010">
      <w:pPr>
        <w:pStyle w:val="Heading2"/>
        <w:spacing w:line="300" w:lineRule="auto"/>
        <w:rPr>
          <w:rFonts w:ascii="Arial" w:cs="Arial" w:eastAsia="Arial" w:hAnsi="Arial"/>
          <w:color w:val="000000"/>
        </w:rPr>
      </w:pPr>
      <w:bookmarkStart w:colFirst="0" w:colLast="0" w:name="_wk5nt2ef7qt1" w:id="8"/>
      <w:bookmarkEnd w:id="8"/>
      <w:r w:rsidDel="00000000" w:rsidR="00000000" w:rsidRPr="00000000">
        <w:rPr>
          <w:rFonts w:ascii="Arial" w:cs="Arial" w:eastAsia="Arial" w:hAnsi="Arial"/>
          <w:color w:val="000000"/>
          <w:rtl w:val="0"/>
        </w:rPr>
        <w:t xml:space="preserve">Our Tech Stack</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Arial" w:cs="Arial" w:eastAsia="Arial" w:hAnsi="Arial"/>
          <w:i w:val="1"/>
          <w:iCs w:val="1"/>
          <w:sz w:val="22"/>
          <w:szCs w:val="22"/>
          <w:rtl w:val="0"/>
        </w:rPr>
        <w:t xml:space="preserve">Snowflake &amp; Databricks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Arial" w:cs="Arial" w:eastAsia="Arial" w:hAnsi="Arial"/>
          <w:i w:val="1"/>
          <w:iCs w:val="1"/>
          <w:sz w:val="22"/>
          <w:szCs w:val="22"/>
          <w:rtl w:val="0"/>
        </w:rPr>
        <w:t xml:space="preserve">Apache Kafka</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Arial" w:cs="Arial" w:eastAsia="Arial" w:hAnsi="Arial"/>
          <w:i w:val="1"/>
          <w:iCs w:val="1"/>
          <w:sz w:val="22"/>
          <w:szCs w:val="22"/>
          <w:rtl w:val="0"/>
        </w:rPr>
        <w:t xml:space="preserve">MongoDB &amp; PostgreSQL</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Arial" w:cs="Arial" w:eastAsia="Arial" w:hAnsi="Arial"/>
          <w:i w:val="1"/>
          <w:iCs w:val="1"/>
          <w:sz w:val="22"/>
          <w:szCs w:val="22"/>
          <w:rtl w:val="0"/>
        </w:rPr>
        <w:t xml:space="preserve">Microsoft Azure &amp; AWS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16">
      <w:pPr>
        <w:pStyle w:val="Heading2"/>
        <w:spacing w:after="240" w:line="300" w:lineRule="auto"/>
        <w:rPr>
          <w:rFonts w:ascii="Arial" w:cs="Arial" w:eastAsia="Arial" w:hAnsi="Arial"/>
          <w:color w:val="000000"/>
        </w:rPr>
      </w:pPr>
      <w:bookmarkStart w:colFirst="0" w:colLast="0" w:name="_ax4no0lct1aq" w:id="9"/>
      <w:bookmarkEnd w:id="9"/>
      <w:r w:rsidDel="00000000" w:rsidR="00000000" w:rsidRPr="00000000">
        <w:rPr>
          <w:rFonts w:ascii="Arial" w:cs="Arial" w:eastAsia="Arial" w:hAnsi="Arial"/>
          <w:color w:val="000000"/>
          <w:rtl w:val="0"/>
        </w:rPr>
        <w:t xml:space="preserve">Our Engineering Methodology</w:t>
      </w:r>
    </w:p>
    <w:p w:rsidR="00000000" w:rsidDel="00000000" w:rsidP="00000000" w:rsidRDefault="00000000" w:rsidRPr="00000000" w14:paraId="00000017">
      <w:pPr>
        <w:pStyle w:val="Heading3"/>
        <w:spacing w:before="0" w:line="300" w:lineRule="auto"/>
        <w:rPr>
          <w:rFonts w:ascii="Arial" w:cs="Arial" w:eastAsia="Arial" w:hAnsi="Arial"/>
          <w:color w:val="000000"/>
        </w:rPr>
      </w:pPr>
      <w:bookmarkStart w:colFirst="0" w:colLast="0" w:name="_pee24szb4kzp" w:id="10"/>
      <w:bookmarkEnd w:id="10"/>
      <w:r w:rsidDel="00000000" w:rsidR="00000000" w:rsidRPr="00000000">
        <w:rPr>
          <w:rFonts w:ascii="Arial" w:cs="Arial" w:eastAsia="Arial" w:hAnsi="Arial"/>
          <w:color w:val="000000"/>
          <w:rtl w:val="0"/>
        </w:rPr>
        <w:t xml:space="preserve">Phase 1: Architectural Unification</w:t>
      </w:r>
    </w:p>
    <w:p w:rsidR="00000000" w:rsidDel="00000000" w:rsidP="00000000" w:rsidRDefault="00000000" w:rsidRPr="00000000" w14:paraId="00000018">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 architect modern data environments, such as centralized Data Lakes or Data Fabrics. We extract and unify siloed information across your legacy systems, cloud environments, and third-party applications. We ensure your data is standardized and instantly accessible across the entire enterprise.</w:t>
      </w:r>
    </w:p>
    <w:p w:rsidR="00000000" w:rsidDel="00000000" w:rsidP="00000000" w:rsidRDefault="00000000" w:rsidRPr="00000000" w14:paraId="00000019">
      <w:pPr>
        <w:pStyle w:val="Heading3"/>
        <w:spacing w:line="300" w:lineRule="auto"/>
        <w:rPr>
          <w:rFonts w:ascii="Arial" w:cs="Arial" w:eastAsia="Arial" w:hAnsi="Arial"/>
          <w:color w:val="000000"/>
        </w:rPr>
      </w:pPr>
      <w:bookmarkStart w:colFirst="0" w:colLast="0" w:name="_wv8ow6evbzm8" w:id="11"/>
      <w:bookmarkEnd w:id="11"/>
      <w:r w:rsidDel="00000000" w:rsidR="00000000" w:rsidRPr="00000000">
        <w:rPr>
          <w:rFonts w:ascii="Arial" w:cs="Arial" w:eastAsia="Arial" w:hAnsi="Arial"/>
          <w:color w:val="000000"/>
          <w:rtl w:val="0"/>
        </w:rPr>
        <w:t xml:space="preserve">Phase 2: Rigorous Cleansing &amp; Validation</w:t>
      </w:r>
    </w:p>
    <w:p w:rsidR="00000000" w:rsidDel="00000000" w:rsidP="00000000" w:rsidRDefault="00000000" w:rsidRPr="00000000" w14:paraId="0000001A">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 enforce strict, automated data quality rules to identify and remove anomalies, redundancies, and inaccuracies. We benchmark your systems against enterprise standards. We ensure your AI models are trained on pristine data and your leadership decisions are built on absolute trust.</w:t>
      </w:r>
    </w:p>
    <w:p w:rsidR="00000000" w:rsidDel="00000000" w:rsidP="00000000" w:rsidRDefault="00000000" w:rsidRPr="00000000" w14:paraId="0000001B">
      <w:pPr>
        <w:pStyle w:val="Heading3"/>
        <w:spacing w:line="300" w:lineRule="auto"/>
        <w:rPr>
          <w:rFonts w:ascii="Arial" w:cs="Arial" w:eastAsia="Arial" w:hAnsi="Arial"/>
          <w:color w:val="000000"/>
        </w:rPr>
      </w:pPr>
      <w:bookmarkStart w:colFirst="0" w:colLast="0" w:name="_2y3s0p5iatr1" w:id="12"/>
      <w:bookmarkEnd w:id="12"/>
      <w:r w:rsidDel="00000000" w:rsidR="00000000" w:rsidRPr="00000000">
        <w:rPr>
          <w:rFonts w:ascii="Arial" w:cs="Arial" w:eastAsia="Arial" w:hAnsi="Arial"/>
          <w:color w:val="000000"/>
          <w:rtl w:val="0"/>
        </w:rPr>
        <w:t xml:space="preserve">Phase 3: Semantic Enrichment</w:t>
      </w:r>
    </w:p>
    <w:p w:rsidR="00000000" w:rsidDel="00000000" w:rsidP="00000000" w:rsidRDefault="00000000" w:rsidRPr="00000000" w14:paraId="0000001C">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 measure infrastructural capacity and prepare your data for advanced machine learning by adding deep contextual layers. We standardize internal taxonomies. We securely connect your proprietary data to external enrichment sources, maximizing its predictive power.</w:t>
      </w:r>
    </w:p>
    <w:p w:rsidR="00000000" w:rsidDel="00000000" w:rsidP="00000000" w:rsidRDefault="00000000" w:rsidRPr="00000000" w14:paraId="0000001D">
      <w:pPr>
        <w:pStyle w:val="Heading3"/>
        <w:spacing w:line="300" w:lineRule="auto"/>
        <w:rPr>
          <w:rFonts w:ascii="Arial" w:cs="Arial" w:eastAsia="Arial" w:hAnsi="Arial"/>
          <w:color w:val="000000"/>
        </w:rPr>
      </w:pPr>
      <w:bookmarkStart w:colFirst="0" w:colLast="0" w:name="_lp34in3c67" w:id="13"/>
      <w:bookmarkEnd w:id="13"/>
      <w:r w:rsidDel="00000000" w:rsidR="00000000" w:rsidRPr="00000000">
        <w:rPr>
          <w:rFonts w:ascii="Arial" w:cs="Arial" w:eastAsia="Arial" w:hAnsi="Arial"/>
          <w:color w:val="000000"/>
          <w:rtl w:val="0"/>
        </w:rPr>
        <w:t xml:space="preserve">Phase 4: Value Extraction Protocols</w:t>
      </w:r>
    </w:p>
    <w:p w:rsidR="00000000" w:rsidDel="00000000" w:rsidP="00000000" w:rsidRDefault="00000000" w:rsidRPr="00000000" w14:paraId="0000001E">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 implement the specific analytical pipelines and APIs that allow you to package, price, and deploy refined data. We deliver customized deployment blueprints tailored for internal operational efficiency. We architect the infrastructure required for the creation of external Data-as-a-Service (DaaS) products.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before="225"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pStyle w:val="Heading2"/>
        <w:spacing w:after="240" w:line="300" w:lineRule="auto"/>
        <w:rPr>
          <w:rFonts w:ascii="Arial" w:cs="Arial" w:eastAsia="Arial" w:hAnsi="Arial"/>
          <w:color w:val="000000"/>
        </w:rPr>
      </w:pPr>
      <w:bookmarkStart w:colFirst="0" w:colLast="0" w:name="_a336sraznc0q" w:id="14"/>
      <w:bookmarkEnd w:id="14"/>
      <w:r w:rsidDel="00000000" w:rsidR="00000000" w:rsidRPr="00000000">
        <w:rPr>
          <w:rFonts w:ascii="Arial" w:cs="Arial" w:eastAsia="Arial" w:hAnsi="Arial"/>
          <w:color w:val="000000"/>
          <w:rtl w:val="0"/>
        </w:rPr>
        <w:t xml:space="preserve">What You Get</w:t>
      </w:r>
    </w:p>
    <w:p w:rsidR="00000000" w:rsidDel="00000000" w:rsidP="00000000" w:rsidRDefault="00000000" w:rsidRPr="00000000" w14:paraId="00000021">
      <w:pPr>
        <w:pStyle w:val="Heading3"/>
        <w:spacing w:before="0" w:line="300" w:lineRule="auto"/>
        <w:rPr>
          <w:rFonts w:ascii="Arial" w:cs="Arial" w:eastAsia="Arial" w:hAnsi="Arial"/>
          <w:color w:val="000000"/>
        </w:rPr>
      </w:pPr>
      <w:bookmarkStart w:colFirst="0" w:colLast="0" w:name="_icqrovv1cyf3" w:id="15"/>
      <w:bookmarkEnd w:id="15"/>
      <w:r w:rsidDel="00000000" w:rsidR="00000000" w:rsidRPr="00000000">
        <w:rPr>
          <w:rFonts w:ascii="Arial" w:cs="Arial" w:eastAsia="Arial" w:hAnsi="Arial"/>
          <w:color w:val="000000"/>
          <w:rtl w:val="0"/>
        </w:rPr>
        <w:t xml:space="preserve">Tangible Deliverables</w:t>
      </w:r>
    </w:p>
    <w:p w:rsidR="00000000" w:rsidDel="00000000" w:rsidP="00000000" w:rsidRDefault="00000000" w:rsidRPr="00000000" w14:paraId="00000022">
      <w:pPr>
        <w:pStyle w:val="Heading3"/>
        <w:rPr/>
      </w:pPr>
      <w:bookmarkStart w:colFirst="0" w:colLast="0" w:name="_pck3dbl7lecu" w:id="16"/>
      <w:bookmarkEnd w:id="16"/>
      <w:r w:rsidDel="00000000" w:rsidR="00000000" w:rsidRPr="00000000">
        <w:rPr>
          <w:rtl w:val="0"/>
        </w:rPr>
        <w:t xml:space="preserve">Unified Data Fabric</w:t>
      </w:r>
    </w:p>
    <w:p w:rsidR="00000000" w:rsidDel="00000000" w:rsidP="00000000" w:rsidRDefault="00000000" w:rsidRPr="00000000" w14:paraId="00000023">
      <w:pPr>
        <w:rPr/>
      </w:pPr>
      <w:r w:rsidDel="00000000" w:rsidR="00000000" w:rsidRPr="00000000">
        <w:rPr>
          <w:rtl w:val="0"/>
        </w:rPr>
        <w:t xml:space="preserve">A complete, unobstructed, and highly secure view of your entire enterprise data architecture, serving as a single source of truth for all departments.</w:t>
      </w:r>
    </w:p>
    <w:p w:rsidR="00000000" w:rsidDel="00000000" w:rsidP="00000000" w:rsidRDefault="00000000" w:rsidRPr="00000000" w14:paraId="00000024">
      <w:pPr>
        <w:pStyle w:val="Heading3"/>
        <w:rPr/>
      </w:pPr>
      <w:bookmarkStart w:colFirst="0" w:colLast="0" w:name="_kvd18vixbtiw" w:id="17"/>
      <w:bookmarkEnd w:id="17"/>
      <w:r w:rsidDel="00000000" w:rsidR="00000000" w:rsidRPr="00000000">
        <w:rPr>
          <w:rtl w:val="0"/>
        </w:rPr>
        <w:t xml:space="preserve">Automated Quality Pipelines</w:t>
      </w:r>
    </w:p>
    <w:p w:rsidR="00000000" w:rsidDel="00000000" w:rsidP="00000000" w:rsidRDefault="00000000" w:rsidRPr="00000000" w14:paraId="00000025">
      <w:pPr>
        <w:rPr/>
      </w:pPr>
      <w:r w:rsidDel="00000000" w:rsidR="00000000" w:rsidRPr="00000000">
        <w:rPr>
          <w:rtl w:val="0"/>
        </w:rPr>
        <w:t xml:space="preserve">Self-healing data flows and strategic benchmarks that continuously monitor data health, operational performance, and compliance standards.</w:t>
      </w:r>
    </w:p>
    <w:p w:rsidR="00000000" w:rsidDel="00000000" w:rsidP="00000000" w:rsidRDefault="00000000" w:rsidRPr="00000000" w14:paraId="00000026">
      <w:pPr>
        <w:pStyle w:val="Heading3"/>
        <w:rPr/>
      </w:pPr>
      <w:bookmarkStart w:colFirst="0" w:colLast="0" w:name="_nj5j3ijgnz8t" w:id="18"/>
      <w:bookmarkEnd w:id="18"/>
      <w:r w:rsidDel="00000000" w:rsidR="00000000" w:rsidRPr="00000000">
        <w:rPr>
          <w:rtl w:val="0"/>
        </w:rPr>
        <w:t xml:space="preserve">Direct Revenue Models</w:t>
      </w:r>
    </w:p>
    <w:p w:rsidR="00000000" w:rsidDel="00000000" w:rsidP="00000000" w:rsidRDefault="00000000" w:rsidRPr="00000000" w14:paraId="00000027">
      <w:pPr>
        <w:rPr/>
      </w:pPr>
      <w:r w:rsidDel="00000000" w:rsidR="00000000" w:rsidRPr="00000000">
        <w:rPr>
          <w:rtl w:val="0"/>
        </w:rPr>
        <w:t xml:space="preserve">Data-driven guidance detailing exactly how to aggregate and anonymize your proprietary data to create net-new subscription services and B2B products.</w:t>
      </w:r>
    </w:p>
    <w:p w:rsidR="00000000" w:rsidDel="00000000" w:rsidP="00000000" w:rsidRDefault="00000000" w:rsidRPr="00000000" w14:paraId="00000028">
      <w:pPr>
        <w:pStyle w:val="Heading3"/>
        <w:rPr/>
      </w:pPr>
      <w:bookmarkStart w:colFirst="0" w:colLast="0" w:name="_quk8a8h55eys" w:id="19"/>
      <w:bookmarkEnd w:id="19"/>
      <w:r w:rsidDel="00000000" w:rsidR="00000000" w:rsidRPr="00000000">
        <w:rPr>
          <w:rtl w:val="0"/>
        </w:rPr>
        <w:t xml:space="preserve">Prescriptive Analytics Dashboards</w:t>
      </w:r>
    </w:p>
    <w:p w:rsidR="00000000" w:rsidDel="00000000" w:rsidP="00000000" w:rsidRDefault="00000000" w:rsidRPr="00000000" w14:paraId="00000029">
      <w:pPr>
        <w:rPr/>
      </w:pPr>
      <w:r w:rsidDel="00000000" w:rsidR="00000000" w:rsidRPr="00000000">
        <w:rPr>
          <w:rtl w:val="0"/>
        </w:rPr>
        <w:t xml:space="preserve">Customized, risk-adjusted reporting and real-time dashboards designed specifically for C-Suite executives to optimize core processes and predict market shifts.</w:t>
      </w:r>
    </w:p>
    <w:p w:rsidR="00000000" w:rsidDel="00000000" w:rsidP="00000000" w:rsidRDefault="00000000" w:rsidRPr="00000000" w14:paraId="0000002A">
      <w:pPr>
        <w:pStyle w:val="Heading3"/>
        <w:rPr/>
      </w:pPr>
      <w:bookmarkStart w:colFirst="0" w:colLast="0" w:name="_g56qpp7s2luw" w:id="20"/>
      <w:bookmarkEnd w:id="20"/>
      <w:r w:rsidDel="00000000" w:rsidR="00000000" w:rsidRPr="00000000">
        <w:rPr>
          <w:rtl w:val="0"/>
        </w:rPr>
        <w:t xml:space="preserve">Strict Governance &amp; Compliance</w:t>
      </w:r>
    </w:p>
    <w:p w:rsidR="00000000" w:rsidDel="00000000" w:rsidP="00000000" w:rsidRDefault="00000000" w:rsidRPr="00000000" w14:paraId="0000002B">
      <w:pPr>
        <w:rPr/>
      </w:pPr>
      <w:r w:rsidDel="00000000" w:rsidR="00000000" w:rsidRPr="00000000">
        <w:rPr>
          <w:rtl w:val="0"/>
        </w:rPr>
        <w:t xml:space="preserve">Enterprise-grade security frameworks, compliance trails, and governance documentation ensure ethical AI usage and adherence to industry regulations for boards and auditors.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pStyle w:val="Heading2"/>
        <w:spacing w:after="240" w:line="300" w:lineRule="auto"/>
        <w:rPr>
          <w:rFonts w:ascii="Arial" w:cs="Arial" w:eastAsia="Arial" w:hAnsi="Arial"/>
          <w:color w:val="000000"/>
        </w:rPr>
      </w:pPr>
      <w:bookmarkStart w:colFirst="0" w:colLast="0" w:name="_b1vmvyosn8p" w:id="21"/>
      <w:bookmarkEnd w:id="21"/>
      <w:r w:rsidDel="00000000" w:rsidR="00000000" w:rsidRPr="00000000">
        <w:rPr>
          <w:rFonts w:ascii="Arial" w:cs="Arial" w:eastAsia="Arial" w:hAnsi="Arial"/>
          <w:color w:val="000000"/>
          <w:rtl w:val="0"/>
        </w:rPr>
        <w:t xml:space="preserve">Built for High-Stakes Enterprises</w:t>
      </w:r>
    </w:p>
    <w:p w:rsidR="00000000" w:rsidDel="00000000" w:rsidP="00000000" w:rsidRDefault="00000000" w:rsidRPr="00000000" w14:paraId="0000002E">
      <w:pPr>
        <w:pStyle w:val="Heading3"/>
        <w:spacing w:before="0" w:line="300" w:lineRule="auto"/>
        <w:rPr>
          <w:rFonts w:ascii="Arial" w:cs="Arial" w:eastAsia="Arial" w:hAnsi="Arial"/>
          <w:color w:val="000000"/>
        </w:rPr>
      </w:pPr>
      <w:bookmarkStart w:colFirst="0" w:colLast="0" w:name="_lxxn02jvdazd" w:id="22"/>
      <w:bookmarkEnd w:id="22"/>
      <w:r w:rsidDel="00000000" w:rsidR="00000000" w:rsidRPr="00000000">
        <w:rPr>
          <w:rFonts w:ascii="Arial" w:cs="Arial" w:eastAsia="Arial" w:hAnsi="Arial"/>
          <w:color w:val="000000"/>
          <w:rtl w:val="0"/>
        </w:rPr>
        <w:t xml:space="preserve">Solving Complex Bottlenecks</w:t>
      </w:r>
    </w:p>
    <w:p w:rsidR="00000000" w:rsidDel="00000000" w:rsidP="00000000" w:rsidRDefault="00000000" w:rsidRPr="00000000" w14:paraId="0000002F">
      <w:pPr>
        <w:pStyle w:val="Heading3"/>
        <w:rPr>
          <w:rFonts w:ascii="Arial" w:cs="Arial" w:eastAsia="Arial" w:hAnsi="Arial"/>
        </w:rPr>
      </w:pPr>
      <w:bookmarkStart w:colFirst="0" w:colLast="0" w:name="_sqtm5ijzgso" w:id="23"/>
      <w:bookmarkEnd w:id="23"/>
      <w:r w:rsidDel="00000000" w:rsidR="00000000" w:rsidRPr="00000000">
        <w:rPr>
          <w:rFonts w:ascii="Arial" w:cs="Arial" w:eastAsia="Arial" w:hAnsi="Arial"/>
          <w:rtl w:val="0"/>
        </w:rPr>
        <w:t xml:space="preserve">Unmonetized Data Assets</w:t>
      </w:r>
    </w:p>
    <w:p w:rsidR="00000000" w:rsidDel="00000000" w:rsidP="00000000" w:rsidRDefault="00000000" w:rsidRPr="00000000" w14:paraId="00000030">
      <w:pPr>
        <w:rPr>
          <w:rFonts w:ascii="Arial" w:cs="Arial" w:eastAsia="Arial" w:hAnsi="Arial"/>
          <w:sz w:val="22"/>
          <w:szCs w:val="22"/>
        </w:rPr>
      </w:pPr>
      <w:r w:rsidDel="00000000" w:rsidR="00000000" w:rsidRPr="00000000">
        <w:rPr>
          <w:rFonts w:ascii="Arial" w:cs="Arial" w:eastAsia="Arial" w:hAnsi="Arial"/>
          <w:sz w:val="22"/>
          <w:szCs w:val="22"/>
          <w:rtl w:val="0"/>
        </w:rPr>
        <w:t xml:space="preserve">Engineered for organizations sitting on petabytes of customer usage and operational data but lacking the technical infrastructure to extract financial value or build DaaS products.</w:t>
      </w:r>
    </w:p>
    <w:p w:rsidR="00000000" w:rsidDel="00000000" w:rsidP="00000000" w:rsidRDefault="00000000" w:rsidRPr="00000000" w14:paraId="00000031">
      <w:pPr>
        <w:pStyle w:val="Heading3"/>
        <w:rPr>
          <w:rFonts w:ascii="Arial" w:cs="Arial" w:eastAsia="Arial" w:hAnsi="Arial"/>
        </w:rPr>
      </w:pPr>
      <w:bookmarkStart w:colFirst="0" w:colLast="0" w:name="_z4jcu9zigg6j" w:id="24"/>
      <w:bookmarkEnd w:id="24"/>
      <w:r w:rsidDel="00000000" w:rsidR="00000000" w:rsidRPr="00000000">
        <w:rPr>
          <w:rFonts w:ascii="Arial" w:cs="Arial" w:eastAsia="Arial" w:hAnsi="Arial"/>
          <w:rtl w:val="0"/>
        </w:rPr>
        <w:t xml:space="preserve">Disconnected Omnichannel Systems</w:t>
      </w:r>
    </w:p>
    <w:p w:rsidR="00000000" w:rsidDel="00000000" w:rsidP="00000000" w:rsidRDefault="00000000" w:rsidRPr="00000000" w14:paraId="00000032">
      <w:pPr>
        <w:rPr>
          <w:rFonts w:ascii="Arial" w:cs="Arial" w:eastAsia="Arial" w:hAnsi="Arial"/>
          <w:sz w:val="22"/>
          <w:szCs w:val="22"/>
        </w:rPr>
      </w:pPr>
      <w:r w:rsidDel="00000000" w:rsidR="00000000" w:rsidRPr="00000000">
        <w:rPr>
          <w:rFonts w:ascii="Arial" w:cs="Arial" w:eastAsia="Arial" w:hAnsi="Arial"/>
          <w:sz w:val="22"/>
          <w:szCs w:val="22"/>
          <w:rtl w:val="0"/>
        </w:rPr>
        <w:t xml:space="preserve">Designed for enterprises struggling to unify decades of siloed, unstructured data across disparate POS, CRM, and supply chain systems into a secure, LLM-ready foundation.</w:t>
      </w:r>
    </w:p>
    <w:p w:rsidR="00000000" w:rsidDel="00000000" w:rsidP="00000000" w:rsidRDefault="00000000" w:rsidRPr="00000000" w14:paraId="00000033">
      <w:pPr>
        <w:pStyle w:val="Heading3"/>
        <w:rPr>
          <w:rFonts w:ascii="Arial" w:cs="Arial" w:eastAsia="Arial" w:hAnsi="Arial"/>
        </w:rPr>
      </w:pPr>
      <w:bookmarkStart w:colFirst="0" w:colLast="0" w:name="_v6sn9r657zc0" w:id="25"/>
      <w:bookmarkEnd w:id="25"/>
      <w:r w:rsidDel="00000000" w:rsidR="00000000" w:rsidRPr="00000000">
        <w:rPr>
          <w:rFonts w:ascii="Arial" w:cs="Arial" w:eastAsia="Arial" w:hAnsi="Arial"/>
          <w:rtl w:val="0"/>
        </w:rPr>
        <w:t xml:space="preserve">Inefficient Cost Centers</w:t>
      </w:r>
    </w:p>
    <w:p w:rsidR="00000000" w:rsidDel="00000000" w:rsidP="00000000" w:rsidRDefault="00000000" w:rsidRPr="00000000" w14:paraId="00000034">
      <w:pPr>
        <w:rPr>
          <w:rFonts w:ascii="Arial" w:cs="Arial" w:eastAsia="Arial" w:hAnsi="Arial"/>
          <w:sz w:val="22"/>
          <w:szCs w:val="22"/>
        </w:rPr>
      </w:pPr>
      <w:r w:rsidDel="00000000" w:rsidR="00000000" w:rsidRPr="00000000">
        <w:rPr>
          <w:rFonts w:ascii="Arial" w:cs="Arial" w:eastAsia="Arial" w:hAnsi="Arial"/>
          <w:sz w:val="22"/>
          <w:szCs w:val="22"/>
          <w:rtl w:val="0"/>
        </w:rPr>
        <w:t xml:space="preserve">Built for teams whose IT infrastructure and cloud storage costs are skyrocketing without delivering proportional, actionable business intelligence to leadership.</w:t>
      </w:r>
    </w:p>
    <w:p w:rsidR="00000000" w:rsidDel="00000000" w:rsidP="00000000" w:rsidRDefault="00000000" w:rsidRPr="00000000" w14:paraId="00000035">
      <w:pPr>
        <w:pStyle w:val="Heading3"/>
        <w:rPr>
          <w:rFonts w:ascii="Arial" w:cs="Arial" w:eastAsia="Arial" w:hAnsi="Arial"/>
        </w:rPr>
      </w:pPr>
      <w:bookmarkStart w:colFirst="0" w:colLast="0" w:name="_m2g87b48yj1x" w:id="26"/>
      <w:bookmarkEnd w:id="26"/>
      <w:r w:rsidDel="00000000" w:rsidR="00000000" w:rsidRPr="00000000">
        <w:rPr>
          <w:rFonts w:ascii="Arial" w:cs="Arial" w:eastAsia="Arial" w:hAnsi="Arial"/>
          <w:rtl w:val="0"/>
        </w:rPr>
        <w:t xml:space="preserve">Plateauing Core Revenue</w:t>
      </w:r>
    </w:p>
    <w:p w:rsidR="00000000" w:rsidDel="00000000" w:rsidP="00000000" w:rsidRDefault="00000000" w:rsidRPr="00000000" w14:paraId="00000036">
      <w:pPr>
        <w:rPr>
          <w:rFonts w:ascii="Arial" w:cs="Arial" w:eastAsia="Arial" w:hAnsi="Arial"/>
          <w:sz w:val="22"/>
          <w:szCs w:val="22"/>
        </w:rPr>
      </w:pPr>
      <w:r w:rsidDel="00000000" w:rsidR="00000000" w:rsidRPr="00000000">
        <w:rPr>
          <w:rFonts w:ascii="Arial" w:cs="Arial" w:eastAsia="Arial" w:hAnsi="Arial"/>
          <w:sz w:val="22"/>
          <w:szCs w:val="22"/>
          <w:rtl w:val="0"/>
        </w:rPr>
        <w:t xml:space="preserve">Structured for leaders who have maximized their core market and need an architectural roadmap to open net-new revenue streams using the proprietary data they already own.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pStyle w:val="Heading2"/>
        <w:spacing w:line="300" w:lineRule="auto"/>
        <w:rPr>
          <w:rFonts w:ascii="Arial" w:cs="Arial" w:eastAsia="Arial" w:hAnsi="Arial"/>
          <w:color w:val="000000"/>
        </w:rPr>
      </w:pPr>
      <w:bookmarkStart w:colFirst="0" w:colLast="0" w:name="_g6hq2p7q0h9c" w:id="27"/>
      <w:bookmarkEnd w:id="27"/>
      <w:r w:rsidDel="00000000" w:rsidR="00000000" w:rsidRPr="00000000">
        <w:rPr>
          <w:rFonts w:ascii="Arial" w:cs="Arial" w:eastAsia="Arial" w:hAnsi="Arial"/>
          <w:color w:val="000000"/>
          <w:rtl w:val="0"/>
        </w:rPr>
        <w:t xml:space="preserve">Unlock the Financial Value of Your Enterprise Data</w:t>
      </w:r>
    </w:p>
    <w:p w:rsidR="00000000" w:rsidDel="00000000" w:rsidP="00000000" w:rsidRDefault="00000000" w:rsidRPr="00000000" w14:paraId="00000039">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Get the exact AI Digital Transformation Roadmap your leadership needs. Build a secure, ethically compliant, and highly governed data architecture. Drive real, measurable business returns.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600" w:line="300"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Schedule Your Data Architecture Audit</w:t>
      </w:r>
    </w:p>
    <w:p w:rsidR="00000000" w:rsidDel="00000000" w:rsidP="00000000" w:rsidRDefault="00000000" w:rsidRPr="00000000" w14:paraId="0000003B">
      <w:pPr>
        <w:spacing w:line="300" w:lineRule="auto"/>
        <w:rPr/>
      </w:pPr>
      <w:r w:rsidDel="00000000" w:rsidR="00000000" w:rsidRPr="00000000">
        <w:rPr>
          <w:rFonts w:ascii="Arial Unicode MS" w:cs="Arial Unicode MS" w:eastAsia="Arial Unicode MS" w:hAnsi="Arial Unicode MS"/>
          <w:color w:val="000000"/>
          <w:sz w:val="20"/>
          <w:szCs w:val="20"/>
          <w:rtl w:val="0"/>
        </w:rPr>
        <w:t xml:space="preserve">Next Service: Cloud Integration &amp; Architecture →</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718096"/>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