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i w:val="0"/>
          <w:iCs w:val="0"/>
          <w:color w:val="000000"/>
          <w:sz w:val="32"/>
          <w:szCs w:val="32"/>
        </w:rPr>
      </w:pPr>
      <w:r w:rsidDel="00000000" w:rsidR="00000000" w:rsidRPr="00000000">
        <w:rPr>
          <w:rFonts w:ascii="Arial" w:cs="Arial" w:eastAsia="Arial" w:hAnsi="Arial"/>
          <w:b w:val="1"/>
          <w:bCs w:val="1"/>
          <w:i w:val="0"/>
          <w:iCs w:val="0"/>
          <w:color w:val="000000"/>
          <w:sz w:val="32"/>
          <w:szCs w:val="32"/>
          <w:rtl w:val="0"/>
        </w:rPr>
        <w:t xml:space="preserve">Predictive Analysis as a Service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Anticipate the Market. Optimize the Enterprise.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Shift from reactive reporting to proactive foresight. We engineer advanced predictive models that transform your historical enterprise data into highly accurate forecasts, allowing you to optimize operations, mitigate risks, and capture market opportunities before they happen.</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450" w:before="0" w:line="300" w:lineRule="auto"/>
        <w:rPr>
          <w:rFonts w:ascii="Arial" w:cs="Arial" w:eastAsia="Arial" w:hAnsi="Arial"/>
          <w:b w:val="1"/>
          <w:bCs w:val="1"/>
          <w:i w:val="0"/>
          <w:iCs w:val="0"/>
          <w:color w:val="000000"/>
          <w:sz w:val="28"/>
          <w:szCs w:val="28"/>
        </w:rPr>
      </w:pPr>
      <w:r w:rsidDel="00000000" w:rsidR="00000000" w:rsidRPr="00000000">
        <w:rPr>
          <w:rFonts w:ascii="Arial" w:cs="Arial" w:eastAsia="Arial" w:hAnsi="Arial"/>
          <w:b w:val="1"/>
          <w:bCs w:val="1"/>
          <w:i w:val="0"/>
          <w:iCs w:val="0"/>
          <w:color w:val="000000"/>
          <w:sz w:val="28"/>
          <w:szCs w:val="28"/>
          <w:rtl w:val="0"/>
        </w:rPr>
        <w:t xml:space="preserve">Schedule Your Predictive Analytics Consultation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The Strategic Advantage of Foresight</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Beyond Historical Dashboards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Most enterprises rely on backward-looking analytics to understand what happened yesterday. We build sophisticated machine learning architectures that project into the future, identifying complex behavioral patterns and systemic trends that are entirely invisible to traditional BI tools.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Proactive Risk Mitigation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Our predictive models act as an early warning system for your core operations. By continuously analyzing real-time data streams against historical precedents, we allow your leadership team to proactively neutralize supply chain disruptions, financial anomalies, and customer attrition before they impact the bottom line.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Dynamic Resource Allocation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 replace static, intuition-based planning with data-driven precision. By accurately forecasting demand spikes and operational bottlenecks, we ensure your capital, inventory, and workforce are deployed exactly where they are needed to maximize yield and eliminate waste.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Engineered With Enterprise-Grade Frameworks</w:t>
      </w:r>
    </w:p>
    <w:p w:rsidR="00000000" w:rsidDel="00000000" w:rsidP="00000000" w:rsidRDefault="00000000" w:rsidRPr="00000000" w14:paraId="0000000E">
      <w:pPr>
        <w:spacing w:before="0" w:line="300" w:lineRule="auto"/>
        <w:rPr/>
      </w:pPr>
      <w:r w:rsidDel="00000000" w:rsidR="00000000" w:rsidRPr="00000000">
        <w:rPr>
          <w:rtl w:val="0"/>
        </w:rPr>
        <w:t xml:space="preserve">TensorFlow &amp; PyTorch Deep Learning Architectures</w:t>
      </w:r>
    </w:p>
    <w:p w:rsidR="00000000" w:rsidDel="00000000" w:rsidP="00000000" w:rsidRDefault="00000000" w:rsidRPr="00000000" w14:paraId="0000000F">
      <w:pPr>
        <w:spacing w:before="0" w:line="300" w:lineRule="auto"/>
        <w:rPr/>
      </w:pPr>
      <w:r w:rsidDel="00000000" w:rsidR="00000000" w:rsidRPr="00000000">
        <w:rPr>
          <w:rtl w:val="0"/>
        </w:rPr>
        <w:t xml:space="preserve">Apache Spark for High-Velocity Data Processing</w:t>
      </w:r>
    </w:p>
    <w:p w:rsidR="00000000" w:rsidDel="00000000" w:rsidP="00000000" w:rsidRDefault="00000000" w:rsidRPr="00000000" w14:paraId="00000010">
      <w:pPr>
        <w:spacing w:before="0" w:line="300" w:lineRule="auto"/>
        <w:rPr/>
      </w:pPr>
      <w:r w:rsidDel="00000000" w:rsidR="00000000" w:rsidRPr="00000000">
        <w:rPr>
          <w:rtl w:val="0"/>
        </w:rPr>
        <w:t xml:space="preserve">XGBoost &amp; Advanced Gradient Boosting Algorithms</w:t>
      </w:r>
    </w:p>
    <w:p w:rsidR="00000000" w:rsidDel="00000000" w:rsidP="00000000" w:rsidRDefault="00000000" w:rsidRPr="00000000" w14:paraId="00000011">
      <w:pPr>
        <w:spacing w:before="0" w:line="300" w:lineRule="auto"/>
        <w:rPr/>
      </w:pPr>
      <w:r w:rsidDel="00000000" w:rsidR="00000000" w:rsidRPr="00000000">
        <w:rPr>
          <w:rtl w:val="0"/>
        </w:rPr>
        <w:t xml:space="preserve">Snowflake &amp; Databricks Analytical Engines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Our Predictive Engineering Methodology</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Temporal Data Structuring &amp; Feature Engineering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Predictive accuracy relies entirely on data quality. We rigorously extract, clean, and structure your time-series data, engineering specific mathematical features that highlight the hidden correlations driving your business outcomes.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Custom Algorithmic Modeling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 do not use generic, off-the-shelf forecasting tools. Our senior data scientists develop custom statistical and deep learning models uniquely tailored to your industry dynamics, ensuring forecasts are highly sensitive to your specific market variables.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API-Driven Operational Integration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predictive model is useless if it sits in a silo. We engineer robust API gateways that feed our predictive insights directly into your existing ERP, CRM, and operational software, empowering your teams to act on forecasts seamlessly.</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Continuous Model Retraining (MLOps)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25"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Markets shift, and static algorithms degrade over time. We deploy automated MLOps pipelines that continuously monitor algorithmic accuracy against real-world outcomes, automatically retraining your models to ensure permanent enterprise reliability.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High-Impact Enterprise Use Cases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Supply Chain &amp; Inventory Optimization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Dramatically reduce carrying costs and eliminate stockouts. We build models that predict localized demand fluctuations, factoring in seasonality, economic indicators, and global logistics constraints to optimize inventory flow globally.</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Churn Prediction &amp; Customer Lifetime Value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Identify high-value clients who are at risk of leaving before they initiate a cancellation. We analyze engagement metrics and transaction histories to trigger proactive retention workflows, maximizing long-term customer revenue.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Dynamic Pricing &amp; Revenue Maximization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Implement intelligent pricing engines that autonomously adjust to real-time market demand, competitor pricing changes, and inventory levels, ensuring you capture maximum margin on every transaction.</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Equipment Failure Forecasting</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25"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For industrial and manufacturing enterprises, we process IoT sensor data to predict mechanical failures before they occur. This predictive maintenance approach completely eliminates catastrophic operational downtime and extends asset lifespans.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Command Your Market Trajectory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Stop reacting to market shifts after they impact your bottom line. Partner with OPHO Tech to embed highly accurate predictive intelligence directly into your core business operations.</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600" w:before="0" w:line="300" w:lineRule="auto"/>
        <w:rPr>
          <w:rFonts w:ascii="Arial" w:cs="Arial" w:eastAsia="Arial" w:hAnsi="Arial"/>
          <w:b w:val="1"/>
          <w:bCs w:val="1"/>
          <w:i w:val="0"/>
          <w:iCs w:val="0"/>
          <w:color w:val="000000"/>
          <w:sz w:val="28"/>
          <w:szCs w:val="28"/>
        </w:rPr>
      </w:pPr>
      <w:r w:rsidDel="00000000" w:rsidR="00000000" w:rsidRPr="00000000">
        <w:rPr>
          <w:rFonts w:ascii="Arial" w:cs="Arial" w:eastAsia="Arial" w:hAnsi="Arial"/>
          <w:b w:val="1"/>
          <w:bCs w:val="1"/>
          <w:i w:val="0"/>
          <w:iCs w:val="0"/>
          <w:color w:val="000000"/>
          <w:sz w:val="28"/>
          <w:szCs w:val="28"/>
          <w:rtl w:val="0"/>
        </w:rPr>
        <w:t xml:space="preserve">Schedule Your Predictive Analytics Consultation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Arial" w:cs="Arial" w:eastAsia="Arial" w:hAnsi="Arial"/>
          <w:b w:val="1"/>
          <w:bCs w:val="1"/>
          <w:i w:val="0"/>
          <w:iCs w:val="0"/>
          <w:color w:val="000000"/>
          <w:sz w:val="28"/>
          <w:szCs w:val="28"/>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sz w:val="20"/>
          <w:szCs w:val="20"/>
        </w:rPr>
      </w:pPr>
      <w:r w:rsidDel="00000000" w:rsidR="00000000" w:rsidRPr="00000000">
        <w:rPr>
          <w:rFonts w:ascii="Arial Unicode MS" w:cs="Arial Unicode MS" w:eastAsia="Arial Unicode MS" w:hAnsi="Arial Unicode MS"/>
          <w:color w:val="000000"/>
          <w:sz w:val="20"/>
          <w:szCs w:val="20"/>
          <w:rtl w:val="0"/>
        </w:rPr>
        <w:t xml:space="preserve">Next Service: Large Language Model (LLM) Fine-Tuning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