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32"/>
          <w:szCs w:val="32"/>
        </w:rPr>
      </w:pPr>
      <w:r w:rsidDel="00000000" w:rsidR="00000000" w:rsidRPr="00000000">
        <w:rPr>
          <w:rFonts w:ascii="Arial" w:cs="Arial" w:eastAsia="Arial" w:hAnsi="Arial"/>
          <w:color w:val="000000"/>
          <w:sz w:val="32"/>
          <w:szCs w:val="32"/>
          <w:rtl w:val="0"/>
        </w:rPr>
        <w:t xml:space="preserve">Research &amp; Analysis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Enterprise AI Readiness Assessment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Secure your foundational data architecture before attempting to scale advanced machine learning. We systematically audit your IT infrastructure to build a risk-free, highly measurable path to complete enterprise AI enablement.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450" w:before="0" w:line="300" w:lineRule="auto"/>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Schedule Your Readiness Audit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Intelligence Before Implementation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No Deployment Into Confusion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strictly refuse to deploy artificial intelligence into disorganized, unmapped enterprise environments. Most large-scale AI initiatives fail rapidly because they are built on fragmented data silos and unsecured legacy systems.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Strategic Intelligence Framework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employ a rigorous, proprietary intelligence framework driven by a dedicated team of Senior Data Scientists, Cloud Architects, and AI/ML Engineers to extract real-time operational insights and evaluate technical feasibility.</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Proactive Risk Mitigation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Our primary objective during this phase is to identify critical vulnerabilities within your current systems before they can be magnified by high-speed AI agents, protecting your organization from costly data leaks or systemic operational downtime.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Fully Auditable Pathways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Our expert, precisely engineered diagnostic reports address fundamental infrastructure gaps, establish strict data governance protocols, and structure a fully secure, regulator-approved roadmap to custom AI adoption.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Our Tech Stack</w:t>
      </w:r>
    </w:p>
    <w:p w:rsidR="00000000" w:rsidDel="00000000" w:rsidP="00000000" w:rsidRDefault="00000000" w:rsidRPr="00000000" w14:paraId="00000010">
      <w:pPr>
        <w:spacing w:before="0" w:line="300" w:lineRule="auto"/>
        <w:rPr/>
      </w:pPr>
      <w:r w:rsidDel="00000000" w:rsidR="00000000" w:rsidRPr="00000000">
        <w:rPr>
          <w:rtl w:val="0"/>
        </w:rPr>
        <w:t xml:space="preserve">AWS &amp; Microsoft Azure Cloud Infrastructures</w:t>
      </w:r>
    </w:p>
    <w:p w:rsidR="00000000" w:rsidDel="00000000" w:rsidP="00000000" w:rsidRDefault="00000000" w:rsidRPr="00000000" w14:paraId="00000011">
      <w:pPr>
        <w:spacing w:before="0" w:line="300" w:lineRule="auto"/>
        <w:rPr/>
      </w:pPr>
      <w:r w:rsidDel="00000000" w:rsidR="00000000" w:rsidRPr="00000000">
        <w:rPr>
          <w:rtl w:val="0"/>
        </w:rPr>
        <w:t xml:space="preserve">Databricks &amp; Snowflake Data Warehousing</w:t>
      </w:r>
    </w:p>
    <w:p w:rsidR="00000000" w:rsidDel="00000000" w:rsidP="00000000" w:rsidRDefault="00000000" w:rsidRPr="00000000" w14:paraId="00000012">
      <w:pPr>
        <w:spacing w:before="0" w:line="300" w:lineRule="auto"/>
        <w:rPr/>
      </w:pPr>
      <w:r w:rsidDel="00000000" w:rsidR="00000000" w:rsidRPr="00000000">
        <w:rPr>
          <w:rtl w:val="0"/>
        </w:rPr>
        <w:t xml:space="preserve">OpenAI Enterprise &amp; Anthropic API Architectures</w:t>
      </w:r>
    </w:p>
    <w:p w:rsidR="00000000" w:rsidDel="00000000" w:rsidP="00000000" w:rsidRDefault="00000000" w:rsidRPr="00000000" w14:paraId="00000013">
      <w:pPr>
        <w:spacing w:before="0" w:line="300" w:lineRule="auto"/>
        <w:rPr/>
      </w:pPr>
      <w:r w:rsidDel="00000000" w:rsidR="00000000" w:rsidRPr="00000000">
        <w:rPr>
          <w:rtl w:val="0"/>
        </w:rPr>
        <w:t xml:space="preserve">Palantir Foundry &amp; Custom ML Pipelines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Our Diagnostic Methodology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Phase 1: Structural Data Profiling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conduct deep architectural extraction, pulling sample structures from your legacy databases, modern cloud architectures, and active security protocols to validate the cleanliness, consistency, and accessibility of your core data assets.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Phase 2: Capability Benchmarking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evaluate your existing network topologies against industry-leading enterprise standards, conducting stress tests on baseline data quality, zero-trust security frameworks, and current IT cost efficiency to identify deep structural gaps.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Phase 3: Operational Readiness Analysis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measure both your hard infrastructural limits and your human organizational readiness, ensuring your existing systems and workforce can seamlessly handle the introduction of autonomous AI agents without experiencing operational disruption.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Phase 4: Persona-Specific Reporting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We deliver customized, highly targeted intelligence formatted for specific decision-makers, including ROI dashboards for executives, technical integration blueprints for IT architects, and strict governance documentation for legal teams.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What You Get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Full Visibility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complete, 360-degree, unobstructed view of your enterprise data architecture and a definitive score on its true AI integration readiness.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Strategic Benchmarks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Direct, uncompromising industry comparisons detailing exactly where your organization stands regarding AI maturity, operational performance, and security compliance versus your competitors.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Smart Recommendations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Hard, data-driven guidance detailing exactly which specific open-source or proprietary AI models to deploy, which legacy systems to modernize immediately, and which internal workflows yield the highest ROI when automated.</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Stakeholder-Specific Insights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Customized, risk-adjusted reporting packages designed specifically to empower C-Suite business leaders to make highly confident, multi-million dollar financial decisions regarding IT infrastructure.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Audit-Ready Documentation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Airtight compliance trails, security vulnerability disclosures, and data governance reports prepared specifically for internal regulators, external auditors, and executive boards.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Built for High-Stakes Enterprises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Strict Compliance Mandates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Engineered specifically for organizations operating in healthcare, finance, or defense that require fully auditable, highly localized, and strictly OWASP-compliant AI infrastructure.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Fragmented Legacy Data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Designed for established enterprises struggling to unify decades of siloed, unstructured information into a secure, cohesive, LLM-ready foundational data lake.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High-Risk Workflows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Built for mission-critical teams that desperately need the efficiency of autonomous AI agents but absolutely cannot afford a single hallucination, data leak, or process failure in their daily operations.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Stalled AI Pilots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Structured for ambitious leaders who have successfully experimented with lightweight AI tools in isolated silos but lack the heavy structural engineering roadmap required to scale them securely across the entire global enterprise.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Discover The Next Step of Your AI Journey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Stop guessing about your digital transformation readiness. Get the exact, step-by-step AI Digital Transformation Roadmap your leadership needs to execute custom AI deployment with total confidence.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600" w:before="0" w:line="300" w:lineRule="auto"/>
        <w:rPr>
          <w:rFonts w:ascii="Arial" w:cs="Arial" w:eastAsia="Arial" w:hAnsi="Arial"/>
          <w:b w:val="1"/>
          <w:bCs w:val="1"/>
          <w:i w:val="0"/>
          <w:iCs w:val="0"/>
          <w:color w:val="000000"/>
          <w:sz w:val="28"/>
          <w:szCs w:val="28"/>
        </w:rPr>
      </w:pPr>
      <w:r w:rsidDel="00000000" w:rsidR="00000000" w:rsidRPr="00000000">
        <w:rPr>
          <w:rFonts w:ascii="Arial" w:cs="Arial" w:eastAsia="Arial" w:hAnsi="Arial"/>
          <w:b w:val="1"/>
          <w:bCs w:val="1"/>
          <w:i w:val="0"/>
          <w:iCs w:val="0"/>
          <w:color w:val="000000"/>
          <w:sz w:val="28"/>
          <w:szCs w:val="28"/>
          <w:rtl w:val="0"/>
        </w:rPr>
        <w:t xml:space="preserve">Schedule Your Readiness Audit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sz w:val="20"/>
          <w:szCs w:val="20"/>
        </w:rPr>
      </w:pPr>
      <w:r w:rsidDel="00000000" w:rsidR="00000000" w:rsidRPr="00000000">
        <w:rPr>
          <w:rFonts w:ascii="Arial Unicode MS" w:cs="Arial Unicode MS" w:eastAsia="Arial Unicode MS" w:hAnsi="Arial Unicode MS"/>
          <w:color w:val="000000"/>
          <w:sz w:val="20"/>
          <w:szCs w:val="20"/>
          <w:rtl w:val="0"/>
        </w:rPr>
        <w:t xml:space="preserve">Next Service: Data Structuring &amp; Monetization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