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B2A6B"/>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B2A6B"/>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B2A6B"/>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B2A6B"/>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B2A6B"/>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B2A6B"/>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B2A6B"/>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B2A6B"/>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B2A6B"/>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B2A6B"/>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B2A6B"/>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B2A6B"/>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B2A6B"/>
          </w:tcPr>
          <w:p>
            <w:r>
              <w:rPr>
                <w:b/>
                <w:color w:val="FFFFFF"/>
                <w:sz w:val="16"/>
              </w:rPr>
              <w:t>#</w:t>
            </w:r>
          </w:p>
        </w:tc>
        <w:tc>
          <w:tcPr>
            <w:tcW w:type="dxa" w:w="4032"/>
            <w:shd w:val="clear" w:color="auto" w:fill="1B2A6B"/>
          </w:tcPr>
          <w:p>
            <w:r>
              <w:rPr>
                <w:b/>
                <w:color w:val="FFFFFF"/>
                <w:sz w:val="16"/>
              </w:rPr>
              <w:t>Description</w:t>
            </w:r>
          </w:p>
        </w:tc>
        <w:tc>
          <w:tcPr>
            <w:tcW w:type="dxa" w:w="1440"/>
            <w:shd w:val="clear" w:color="auto" w:fill="1B2A6B"/>
          </w:tcPr>
          <w:p>
            <w:r>
              <w:rPr>
                <w:b/>
                <w:color w:val="FFFFFF"/>
                <w:sz w:val="16"/>
              </w:rPr>
              <w:t>Amount AED</w:t>
            </w:r>
          </w:p>
        </w:tc>
        <w:tc>
          <w:tcPr>
            <w:tcW w:type="dxa" w:w="1944"/>
            <w:shd w:val="clear" w:color="auto" w:fill="1B2A6B"/>
          </w:tcPr>
          <w:p>
            <w:r>
              <w:rPr>
                <w:b/>
                <w:color w:val="FFFFFF"/>
                <w:sz w:val="16"/>
              </w:rPr>
              <w:t>VAT Rate</w:t>
            </w:r>
          </w:p>
        </w:tc>
        <w:tc>
          <w:tcPr>
            <w:tcW w:type="dxa" w:w="1008"/>
            <w:shd w:val="clear" w:color="auto" w:fill="1B2A6B"/>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B2A6B"/>
          </w:tcPr>
          <w:p>
            <w:r>
              <w:rPr>
                <w:b/>
                <w:color w:val="FFFFFF"/>
                <w:sz w:val="16"/>
              </w:rPr>
              <w:t>Stage</w:t>
            </w:r>
          </w:p>
        </w:tc>
        <w:tc>
          <w:tcPr>
            <w:tcW w:type="dxa" w:w="4032"/>
            <w:shd w:val="clear" w:color="auto" w:fill="1B2A6B"/>
          </w:tcPr>
          <w:p>
            <w:r>
              <w:rPr>
                <w:b/>
                <w:color w:val="FFFFFF"/>
                <w:sz w:val="16"/>
              </w:rPr>
              <w:t>Milestone</w:t>
            </w:r>
          </w:p>
        </w:tc>
        <w:tc>
          <w:tcPr>
            <w:tcW w:type="dxa" w:w="3888"/>
            <w:shd w:val="clear" w:color="auto" w:fill="1B2A6B"/>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B2A6B"/>
          </w:tcPr>
          <w:p>
            <w:r>
              <w:rPr>
                <w:b/>
                <w:color w:val="FFFFFF"/>
                <w:sz w:val="16"/>
              </w:rPr>
              <w:t>Law / Decree</w:t>
            </w:r>
          </w:p>
        </w:tc>
        <w:tc>
          <w:tcPr>
            <w:tcW w:type="dxa" w:w="5616"/>
            <w:shd w:val="clear" w:color="auto" w:fill="1B2A6B"/>
          </w:tcPr>
          <w:p>
            <w:r>
              <w:rPr>
                <w:b/>
                <w:color w:val="FFFFFF"/>
                <w:sz w:val="16"/>
              </w:rPr>
              <w:t>Subject Matter</w:t>
            </w:r>
          </w:p>
        </w:tc>
      </w:tr>
      <w:tr>
        <w:tc>
          <w:tcPr>
            <w:tcW w:type="dxa" w:w="3456"/>
            <w:shd w:val="clear" w:color="auto" w:fill="EEF2FF"/>
          </w:tcPr>
          <w:p>
            <w:r>
              <w:rPr>
                <w:sz w:val="16"/>
              </w:rPr>
              <w:t>Federal Decree-Law No. 29 of 2021</w:t>
            </w:r>
          </w:p>
        </w:tc>
        <w:tc>
          <w:tcPr>
            <w:tcW w:type="dxa" w:w="5616"/>
            <w:shd w:val="clear" w:color="auto" w:fill="EEF2FF"/>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EF2FF"/>
          </w:tcPr>
          <w:p>
            <w:r>
              <w:rPr>
                <w:sz w:val="16"/>
              </w:rPr>
              <w:t>Federal Decree-Law No. 8 of 2017</w:t>
            </w:r>
          </w:p>
        </w:tc>
        <w:tc>
          <w:tcPr>
            <w:tcW w:type="dxa" w:w="5616"/>
            <w:shd w:val="clear" w:color="auto" w:fill="EEF2FF"/>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EF2FF"/>
          </w:tcPr>
          <w:p>
            <w:r>
              <w:rPr>
                <w:sz w:val="16"/>
              </w:rPr>
              <w:t>Cabinet Decision No. 66 of 2023</w:t>
            </w:r>
          </w:p>
        </w:tc>
        <w:tc>
          <w:tcPr>
            <w:tcW w:type="dxa" w:w="5616"/>
            <w:shd w:val="clear" w:color="auto" w:fill="EEF2FF"/>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EF2FF"/>
          </w:tcPr>
          <w:p>
            <w:r>
              <w:rPr>
                <w:sz w:val="16"/>
              </w:rPr>
              <w:t>Federal Decree-Law No. 20 of 2018</w:t>
            </w:r>
          </w:p>
        </w:tc>
        <w:tc>
          <w:tcPr>
            <w:tcW w:type="dxa" w:w="5616"/>
            <w:shd w:val="clear" w:color="auto" w:fill="EEF2FF"/>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EF2FF"/>
          </w:tcPr>
          <w:p>
            <w:r>
              <w:rPr>
                <w:b/>
                <w:sz w:val="16"/>
              </w:rPr>
              <w:t>Federal Law No. 5 of 1985</w:t>
            </w:r>
          </w:p>
        </w:tc>
        <w:tc>
          <w:tcPr>
            <w:tcW w:type="dxa" w:w="5616"/>
            <w:shd w:val="clear" w:color="auto" w:fill="EEF2FF"/>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pgSz w:w="11909" w:h="16834"/>
      <w:pgMar w:top="2000" w:right="1260" w:bottom="1200" w:left="1260"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1A5C2E"/>
          <w:vAlign w:val="center"/>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EAF4EC"/>
          <w:vAlign w:val="center"/>
        </w:tcPr>
        <w:p>
          <w:pPr>
            <w:spacing w:before="60" w:after="20"/>
          </w:pPr>
          <w:r>
            <w:rPr>
              <w:b/>
              <w:bCs/>
              <w:color w:val="1A5C2E"/>
              <w:sz w:val="28"/>
              <w:szCs w:val="28"/>
            </w:rPr>
            <w:t>UPALI IMMIGRATION SERVICES</w:t>
          </w:r>
        </w:p>
        <w:p>
          <w:pPr>
            <w:spacing w:before="0" w:after="20"/>
          </w:pPr>
          <w:r>
            <w:rPr>
              <w:i/>
              <w:iCs/>
              <w:color w:val="7A6010"/>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