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1B2A6B"/>
          </w:tcPr>
          <w:p>
            <w:pPr>
              <w:jc w:val="center"/>
            </w:pPr>
            <w:r>
              <w:rPr>
                <w:b/>
                <w:i w:val="0"/>
                <w:color w:val="FFFFFF"/>
                <w:sz w:val="30"/>
              </w:rPr>
              <w:t>CLIENT SERVICE AGREEMENT</w:t>
            </w:r>
          </w:p>
          <w:p>
            <w:pPr>
              <w:jc w:val="center"/>
            </w:pPr>
            <w:r>
              <w:rPr>
                <w:b w:val="0"/>
                <w:i w:val="0"/>
                <w:color w:val="B8E0C0"/>
                <w:sz w:val="16"/>
              </w:rPr>
              <w:t>Governed by the Laws of the United Arab Emirates  ·  UAE VAT Decree-Law No. 8 of 2017</w:t>
            </w:r>
          </w:p>
          <w:p/>
        </w:tc>
      </w:tr>
    </w:tbl>
    <w:p>
      <w:pPr>
        <w:spacing w:after="80" w:before="80"/>
      </w:pPr>
    </w:p>
    <w:tbl>
      <w:tblPr>
        <w:tblStyle w:val="TableGrid"/>
        <w:tblW w:type="auto" w:w="0"/>
        <w:tblLook w:firstColumn="1" w:firstRow="1" w:lastColumn="0" w:lastRow="0" w:noHBand="0" w:noVBand="1" w:val="04A0"/>
      </w:tblPr>
      <w:tblGrid>
        <w:gridCol w:w="4707"/>
        <w:gridCol w:w="4707"/>
      </w:tblGrid>
      <w:tr>
        <w:tc>
          <w:tcPr>
            <w:tcW w:type="dxa" w:w="2736"/>
            <w:shd w:val="clear" w:color="auto" w:fill="1B2A6B"/>
          </w:tcPr>
          <w:p>
            <w:r>
              <w:rPr>
                <w:b/>
                <w:color w:val="FFFFFF"/>
                <w:sz w:val="16"/>
              </w:rPr>
              <w:t>Agreement Date</w:t>
            </w:r>
          </w:p>
        </w:tc>
        <w:tc>
          <w:tcPr>
            <w:tcW w:type="dxa" w:w="6336"/>
            <w:shd w:val="clear" w:color="auto" w:fill="EEF2FF"/>
          </w:tcPr>
          <w:p>
            <w:r>
              <w:rPr>
                <w:sz w:val="16"/>
              </w:rPr>
              <w:t>${System.Today}</w:t>
            </w:r>
          </w:p>
        </w:tc>
      </w:tr>
      <w:tr>
        <w:tc>
          <w:tcPr>
            <w:tcW w:type="dxa" w:w="2736"/>
            <w:shd w:val="clear" w:color="auto" w:fill="1B2A6B"/>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B2A6B"/>
          </w:tcPr>
          <w:p>
            <w:r>
              <w:rPr>
                <w:b/>
                <w:color w:val="FFFFFF"/>
                <w:sz w:val="16"/>
              </w:rPr>
              <w:t>Client Full Name</w:t>
            </w:r>
          </w:p>
        </w:tc>
        <w:tc>
          <w:tcPr>
            <w:tcW w:type="dxa" w:w="6336"/>
            <w:shd w:val="clear" w:color="auto" w:fill="EEF2FF"/>
          </w:tcPr>
          <w:p>
            <w:r>
              <w:rPr>
                <w:sz w:val="16"/>
              </w:rPr>
              <w:t>${Contacts.First_Name} ${Contacts.Last_Name}</w:t>
            </w:r>
          </w:p>
        </w:tc>
      </w:tr>
      <w:tr>
        <w:tc>
          <w:tcPr>
            <w:tcW w:type="dxa" w:w="2736"/>
            <w:shd w:val="clear" w:color="auto" w:fill="1B2A6B"/>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B2A6B"/>
          </w:tcPr>
          <w:p>
            <w:r>
              <w:rPr>
                <w:b/>
                <w:color w:val="FFFFFF"/>
                <w:sz w:val="16"/>
              </w:rPr>
              <w:t>Passport No.</w:t>
            </w:r>
          </w:p>
        </w:tc>
        <w:tc>
          <w:tcPr>
            <w:tcW w:type="dxa" w:w="6336"/>
            <w:shd w:val="clear" w:color="auto" w:fill="EEF2FF"/>
          </w:tcPr>
          <w:p>
            <w:r>
              <w:rPr>
                <w:sz w:val="16"/>
              </w:rPr>
              <w:t>${Contacts.Passport_Number}</w:t>
            </w:r>
          </w:p>
        </w:tc>
      </w:tr>
      <w:tr>
        <w:tc>
          <w:tcPr>
            <w:tcW w:type="dxa" w:w="2736"/>
            <w:shd w:val="clear" w:color="auto" w:fill="1B2A6B"/>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B2A6B"/>
          </w:tcPr>
          <w:p>
            <w:r>
              <w:rPr>
                <w:b/>
                <w:color w:val="FFFFFF"/>
                <w:sz w:val="16"/>
              </w:rPr>
              <w:t>Contact Number</w:t>
            </w:r>
          </w:p>
        </w:tc>
        <w:tc>
          <w:tcPr>
            <w:tcW w:type="dxa" w:w="6336"/>
            <w:shd w:val="clear" w:color="auto" w:fill="EEF2FF"/>
          </w:tcPr>
          <w:p>
            <w:r>
              <w:rPr>
                <w:sz w:val="16"/>
              </w:rPr>
              <w:t>${Contacts.Phone}</w:t>
            </w:r>
          </w:p>
        </w:tc>
      </w:tr>
      <w:tr>
        <w:tc>
          <w:tcPr>
            <w:tcW w:type="dxa" w:w="2736"/>
            <w:shd w:val="clear" w:color="auto" w:fill="1B2A6B"/>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B2A6B"/>
          </w:tcPr>
          <w:p>
            <w:r>
              <w:rPr>
                <w:b/>
                <w:color w:val="FFFFFF"/>
                <w:sz w:val="16"/>
              </w:rPr>
              <w:t>Country of Residence</w:t>
            </w:r>
          </w:p>
        </w:tc>
        <w:tc>
          <w:tcPr>
            <w:tcW w:type="dxa" w:w="6336"/>
            <w:shd w:val="clear" w:color="auto" w:fill="EEF2FF"/>
          </w:tcPr>
          <w:p>
            <w:r>
              <w:rPr>
                <w:sz w:val="16"/>
              </w:rPr>
              <w:t>${Contacts.Country_of_Residence}</w:t>
            </w:r>
          </w:p>
        </w:tc>
      </w:tr>
      <w:tr>
        <w:tc>
          <w:tcPr>
            <w:tcW w:type="dxa" w:w="2736"/>
            <w:shd w:val="clear" w:color="auto" w:fill="1B2A6B"/>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B2A6B"/>
          </w:tcPr>
          <w:p>
            <w:r>
              <w:rPr>
                <w:b/>
                <w:color w:val="FFFFFF"/>
                <w:sz w:val="16"/>
              </w:rPr>
              <w:t>Service</w:t>
            </w:r>
          </w:p>
        </w:tc>
        <w:tc>
          <w:tcPr>
            <w:tcW w:type="dxa" w:w="6336"/>
            <w:shd w:val="clear" w:color="auto" w:fill="EEF2FF"/>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BEB"/>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or any government body. All visa decisions rest exclusively with the relevant immigration authority. No outcome is guaranteed.</w:t>
            </w:r>
          </w:p>
        </w:tc>
      </w:tr>
    </w:tbl>
    <w:p>
      <w:pPr>
        <w:spacing w:after="20"/>
      </w:pPr>
    </w:p>
    <w:p>
      <w:pPr>
        <w:spacing w:before="140" w:after="40"/>
      </w:pPr>
      <w:r>
        <w:rPr>
          <w:b/>
          <w:color w:val="1B2A6B"/>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B2A6B"/>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B2A6B"/>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B2A6B"/>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B2A6B"/>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B2A6B"/>
          </w:tcPr>
          <w:p>
            <w:r>
              <w:rPr>
                <w:b/>
                <w:color w:val="FFFFFF"/>
                <w:sz w:val="16"/>
              </w:rPr>
              <w:t>#</w:t>
            </w:r>
          </w:p>
        </w:tc>
        <w:tc>
          <w:tcPr>
            <w:tcW w:type="dxa" w:w="4032"/>
            <w:shd w:val="clear" w:color="auto" w:fill="1B2A6B"/>
          </w:tcPr>
          <w:p>
            <w:r>
              <w:rPr>
                <w:b/>
                <w:color w:val="FFFFFF"/>
                <w:sz w:val="16"/>
              </w:rPr>
              <w:t>Description</w:t>
            </w:r>
          </w:p>
        </w:tc>
        <w:tc>
          <w:tcPr>
            <w:tcW w:type="dxa" w:w="1440"/>
            <w:shd w:val="clear" w:color="auto" w:fill="1B2A6B"/>
          </w:tcPr>
          <w:p>
            <w:r>
              <w:rPr>
                <w:b/>
                <w:color w:val="FFFFFF"/>
                <w:sz w:val="16"/>
              </w:rPr>
              <w:t>Amount AED</w:t>
            </w:r>
          </w:p>
        </w:tc>
        <w:tc>
          <w:tcPr>
            <w:tcW w:type="dxa" w:w="1944"/>
            <w:shd w:val="clear" w:color="auto" w:fill="1B2A6B"/>
          </w:tcPr>
          <w:p>
            <w:r>
              <w:rPr>
                <w:b/>
                <w:color w:val="FFFFFF"/>
                <w:sz w:val="16"/>
              </w:rPr>
              <w:t>VAT Rate</w:t>
            </w:r>
          </w:p>
        </w:tc>
        <w:tc>
          <w:tcPr>
            <w:tcW w:type="dxa" w:w="1008"/>
            <w:shd w:val="clear" w:color="auto" w:fill="1B2A6B"/>
          </w:tcPr>
          <w:p>
            <w:r>
              <w:rPr>
                <w:b/>
                <w:color w:val="FFFFFF"/>
                <w:sz w:val="16"/>
              </w:rPr>
              <w:t>VAT AED</w:t>
            </w:r>
          </w:p>
        </w:tc>
      </w:tr>
      <w:tr>
        <w:tc>
          <w:tcPr>
            <w:tcW w:type="dxa" w:w="360"/>
            <w:shd w:val="clear" w:color="auto" w:fill="EEF2FF"/>
          </w:tcPr>
          <w:p>
            <w:r>
              <w:rPr>
                <w:sz w:val="16"/>
              </w:rPr>
              <w:t>1</w:t>
            </w:r>
          </w:p>
        </w:tc>
        <w:tc>
          <w:tcPr>
            <w:tcW w:type="dxa" w:w="4032"/>
            <w:shd w:val="clear" w:color="auto" w:fill="EEF2FF"/>
          </w:tcPr>
          <w:p>
            <w:r>
              <w:rPr>
                <w:sz w:val="16"/>
              </w:rPr>
              <w:t>Consultancy Fee — ${Contacts.Destination_Country} ${Contacts.Visa_Type}</w:t>
            </w:r>
          </w:p>
        </w:tc>
        <w:tc>
          <w:tcPr>
            <w:tcW w:type="dxa" w:w="1440"/>
            <w:shd w:val="clear" w:color="auto" w:fill="EEF2FF"/>
          </w:tcPr>
          <w:p>
            <w:r>
              <w:rPr>
                <w:sz w:val="16"/>
              </w:rPr>
              <w:t>${Contacts.Consultancy_Fee_AED}</w:t>
            </w:r>
          </w:p>
        </w:tc>
        <w:tc>
          <w:tcPr>
            <w:tcW w:type="dxa" w:w="1944"/>
            <w:shd w:val="clear" w:color="auto" w:fill="EEF2FF"/>
          </w:tcPr>
          <w:p>
            <w:r>
              <w:rPr>
                <w:sz w:val="16"/>
              </w:rPr>
              <w:t>0% Zero-Rated (Art. 31)</w:t>
            </w:r>
          </w:p>
        </w:tc>
        <w:tc>
          <w:tcPr>
            <w:tcW w:type="dxa" w:w="1008"/>
            <w:shd w:val="clear" w:color="auto" w:fill="EEF2FF"/>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EF2FF"/>
          </w:tcPr>
          <w:p>
            <w:r>
              <w:rPr>
                <w:sz w:val="16"/>
              </w:rPr>
              <w:t>3</w:t>
            </w:r>
          </w:p>
        </w:tc>
        <w:tc>
          <w:tcPr>
            <w:tcW w:type="dxa" w:w="4032"/>
            <w:shd w:val="clear" w:color="auto" w:fill="EEF2FF"/>
          </w:tcPr>
          <w:p>
            <w:r>
              <w:rPr>
                <w:sz w:val="16"/>
              </w:rPr>
              <w:t>Biometric / Embassy Appointment Fee</w:t>
              <w:br/>
              <w:t>Govt disbursement — receipt matched</w:t>
            </w:r>
          </w:p>
        </w:tc>
        <w:tc>
          <w:tcPr>
            <w:tcW w:type="dxa" w:w="1440"/>
            <w:shd w:val="clear" w:color="auto" w:fill="EEF2FF"/>
          </w:tcPr>
          <w:p>
            <w:r>
              <w:rPr>
                <w:sz w:val="16"/>
              </w:rPr>
              <w:t>${Contacts.Biometric_Fee_AED}</w:t>
            </w:r>
          </w:p>
        </w:tc>
        <w:tc>
          <w:tcPr>
            <w:tcW w:type="dxa" w:w="1944"/>
            <w:shd w:val="clear" w:color="auto" w:fill="EEF2FF"/>
          </w:tcPr>
          <w:p>
            <w:r>
              <w:rPr>
                <w:sz w:val="16"/>
              </w:rPr>
              <w:t>Out of Scope</w:t>
            </w:r>
          </w:p>
        </w:tc>
        <w:tc>
          <w:tcPr>
            <w:tcW w:type="dxa" w:w="1008"/>
            <w:shd w:val="clear" w:color="auto" w:fill="EEF2FF"/>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EF2FF"/>
          </w:tcPr>
          <w:p>
            <w:r>
              <w:rPr>
                <w:b/>
                <w:sz w:val="16"/>
              </w:rPr>
            </w:r>
          </w:p>
        </w:tc>
        <w:tc>
          <w:tcPr>
            <w:tcW w:type="dxa" w:w="4032"/>
            <w:shd w:val="clear" w:color="auto" w:fill="EEF2FF"/>
          </w:tcPr>
          <w:p>
            <w:r>
              <w:rPr>
                <w:b/>
                <w:sz w:val="16"/>
              </w:rPr>
              <w:t>TOTAL DUE  (Outside-UAE — Zero-Rated)</w:t>
            </w:r>
          </w:p>
        </w:tc>
        <w:tc>
          <w:tcPr>
            <w:tcW w:type="dxa" w:w="1440"/>
            <w:shd w:val="clear" w:color="auto" w:fill="EEF2FF"/>
          </w:tcPr>
          <w:p>
            <w:r>
              <w:rPr>
                <w:b/>
                <w:sz w:val="16"/>
              </w:rPr>
              <w:t>AED ${Contacts.Package_Price_AED}</w:t>
            </w:r>
          </w:p>
        </w:tc>
        <w:tc>
          <w:tcPr>
            <w:tcW w:type="dxa" w:w="1944"/>
            <w:shd w:val="clear" w:color="auto" w:fill="EEF2FF"/>
          </w:tcPr>
          <w:p>
            <w:r>
              <w:rPr>
                <w:b/>
                <w:sz w:val="16"/>
              </w:rPr>
            </w:r>
          </w:p>
        </w:tc>
        <w:tc>
          <w:tcPr>
            <w:tcW w:type="dxa" w:w="1008"/>
            <w:shd w:val="clear" w:color="auto" w:fill="EEF2FF"/>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B2A6B"/>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B2A6B"/>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B2A6B"/>
          </w:tcPr>
          <w:p>
            <w:r>
              <w:rPr>
                <w:b/>
                <w:color w:val="FFFFFF"/>
                <w:sz w:val="16"/>
              </w:rPr>
              <w:t>Stage</w:t>
            </w:r>
          </w:p>
        </w:tc>
        <w:tc>
          <w:tcPr>
            <w:tcW w:type="dxa" w:w="4032"/>
            <w:shd w:val="clear" w:color="auto" w:fill="1B2A6B"/>
          </w:tcPr>
          <w:p>
            <w:r>
              <w:rPr>
                <w:b/>
                <w:color w:val="FFFFFF"/>
                <w:sz w:val="16"/>
              </w:rPr>
              <w:t>Milestone</w:t>
            </w:r>
          </w:p>
        </w:tc>
        <w:tc>
          <w:tcPr>
            <w:tcW w:type="dxa" w:w="3888"/>
            <w:shd w:val="clear" w:color="auto" w:fill="1B2A6B"/>
          </w:tcPr>
          <w:p>
            <w:r>
              <w:rPr>
                <w:b/>
                <w:color w:val="FFFFFF"/>
                <w:sz w:val="16"/>
              </w:rPr>
              <w:t>Client Refund Entitlement</w:t>
            </w:r>
          </w:p>
        </w:tc>
      </w:tr>
      <w:tr>
        <w:tc>
          <w:tcPr>
            <w:tcW w:type="dxa" w:w="1152"/>
            <w:shd w:val="clear" w:color="auto" w:fill="EEF2FF"/>
          </w:tcPr>
          <w:p>
            <w:r>
              <w:rPr>
                <w:sz w:val="16"/>
              </w:rPr>
              <w:t>Stage 1</w:t>
            </w:r>
          </w:p>
        </w:tc>
        <w:tc>
          <w:tcPr>
            <w:tcW w:type="dxa" w:w="4032"/>
            <w:shd w:val="clear" w:color="auto" w:fill="EEF2FF"/>
          </w:tcPr>
          <w:p>
            <w:r>
              <w:rPr>
                <w:sz w:val="16"/>
              </w:rPr>
              <w:t>Eligibility assessment completed</w:t>
            </w:r>
          </w:p>
        </w:tc>
        <w:tc>
          <w:tcPr>
            <w:tcW w:type="dxa" w:w="3888"/>
            <w:shd w:val="clear" w:color="auto" w:fill="EEF2FF"/>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EF2FF"/>
          </w:tcPr>
          <w:p>
            <w:r>
              <w:rPr>
                <w:sz w:val="16"/>
              </w:rPr>
              <w:t>Stage 3</w:t>
            </w:r>
          </w:p>
        </w:tc>
        <w:tc>
          <w:tcPr>
            <w:tcW w:type="dxa" w:w="4032"/>
            <w:shd w:val="clear" w:color="auto" w:fill="EEF2FF"/>
          </w:tcPr>
          <w:p>
            <w:r>
              <w:rPr>
                <w:sz w:val="16"/>
              </w:rPr>
              <w:t>Application submitted to Immigration</w:t>
            </w:r>
          </w:p>
        </w:tc>
        <w:tc>
          <w:tcPr>
            <w:tcW w:type="dxa" w:w="3888"/>
            <w:shd w:val="clear" w:color="auto" w:fill="EEF2FF"/>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B2A6B"/>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B2A6B"/>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B2A6B"/>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B2A6B"/>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B2A6B"/>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B2A6B"/>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pageBreakBefore/>
      </w:pPr>
    </w:p>
    <w:p>
      <w:pPr>
        <w:pBdr>
          <w:bottom w:val="single" w:sz="8" w:space="1" w:color="1A5C2A"/>
        </w:pBdr>
        <w:spacing w:before="160" w:after="120"/>
      </w:pPr>
    </w:p>
    <w:p>
      <w:pPr>
        <w:spacing w:before="0" w:after="120"/>
      </w:pPr>
      <w:r>
        <w:rPr>
          <w:b/>
          <w:i w:val="0"/>
          <w:color w:val="1B2A6B"/>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EF2FF"/>
          </w:tcPr>
          <w:p>
            <w:pPr>
              <w:spacing w:before="0" w:after="40"/>
            </w:pPr>
            <w:r>
              <w:rPr>
                <w:b/>
                <w:i w:val="0"/>
                <w:color w:val="1B2A6B"/>
                <w:sz w:val="20"/>
              </w:rPr>
              <w:t>SERVICE PROVIDER</w:t>
            </w:r>
          </w:p>
          <w:p>
            <w:pPr>
              <w:spacing w:before="0" w:after="40"/>
            </w:pPr>
            <w:r>
              <w:rPr>
                <w:b/>
                <w:i w:val="0"/>
                <w:color w:val="1B2A6B"/>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1B2A6B"/>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B2A6B"/>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0" w:after="80"/>
      </w:pPr>
      <w:r>
        <w:rPr>
          <w:b/>
          <w:i w:val="0"/>
          <w:color w:val="1B2A6B"/>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B2A6B"/>
          </w:tcPr>
          <w:p>
            <w:r>
              <w:rPr>
                <w:b/>
                <w:color w:val="FFFFFF"/>
                <w:sz w:val="16"/>
              </w:rPr>
              <w:t>Law / Decree</w:t>
            </w:r>
          </w:p>
        </w:tc>
        <w:tc>
          <w:tcPr>
            <w:tcW w:type="dxa" w:w="5616"/>
            <w:shd w:val="clear" w:color="auto" w:fill="1B2A6B"/>
          </w:tcPr>
          <w:p>
            <w:r>
              <w:rPr>
                <w:b/>
                <w:color w:val="FFFFFF"/>
                <w:sz w:val="16"/>
              </w:rPr>
              <w:t>Subject Matter</w:t>
            </w:r>
          </w:p>
        </w:tc>
      </w:tr>
      <w:tr>
        <w:tc>
          <w:tcPr>
            <w:tcW w:type="dxa" w:w="3456"/>
            <w:shd w:val="clear" w:color="auto" w:fill="EEF2FF"/>
          </w:tcPr>
          <w:p>
            <w:r>
              <w:rPr>
                <w:sz w:val="16"/>
              </w:rPr>
              <w:t>Federal Decree-Law No. 29 of 2021</w:t>
            </w:r>
          </w:p>
        </w:tc>
        <w:tc>
          <w:tcPr>
            <w:tcW w:type="dxa" w:w="5616"/>
            <w:shd w:val="clear" w:color="auto" w:fill="EEF2FF"/>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EF2FF"/>
          </w:tcPr>
          <w:p>
            <w:r>
              <w:rPr>
                <w:sz w:val="16"/>
              </w:rPr>
              <w:t>Federal Decree-Law No. 8 of 2017</w:t>
            </w:r>
          </w:p>
        </w:tc>
        <w:tc>
          <w:tcPr>
            <w:tcW w:type="dxa" w:w="5616"/>
            <w:shd w:val="clear" w:color="auto" w:fill="EEF2FF"/>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EF2FF"/>
          </w:tcPr>
          <w:p>
            <w:r>
              <w:rPr>
                <w:sz w:val="16"/>
              </w:rPr>
              <w:t>Cabinet Decision No. 66 of 2023</w:t>
            </w:r>
          </w:p>
        </w:tc>
        <w:tc>
          <w:tcPr>
            <w:tcW w:type="dxa" w:w="5616"/>
            <w:shd w:val="clear" w:color="auto" w:fill="EEF2FF"/>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EF2FF"/>
          </w:tcPr>
          <w:p>
            <w:r>
              <w:rPr>
                <w:sz w:val="16"/>
              </w:rPr>
              <w:t>Federal Decree-Law No. 20 of 2018</w:t>
            </w:r>
          </w:p>
        </w:tc>
        <w:tc>
          <w:tcPr>
            <w:tcW w:type="dxa" w:w="5616"/>
            <w:shd w:val="clear" w:color="auto" w:fill="EEF2FF"/>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EF2FF"/>
          </w:tcPr>
          <w:p>
            <w:r>
              <w:rPr>
                <w:b/>
                <w:sz w:val="16"/>
              </w:rPr>
              <w:t>Federal Law No. 5 of 1985</w:t>
            </w:r>
          </w:p>
        </w:tc>
        <w:tc>
          <w:tcPr>
            <w:tcW w:type="dxa" w:w="5616"/>
            <w:shd w:val="clear" w:color="auto" w:fill="EEF2FF"/>
          </w:tcPr>
          <w:p>
            <w:r>
              <w:rPr>
                <w:b/>
                <w:sz w:val="16"/>
              </w:rPr>
              <w:t>Civil Transactions Law (Civil Code)</w:t>
            </w:r>
          </w:p>
        </w:tc>
      </w:tr>
    </w:tbl>
    <w:p>
      <w:pPr>
        <w:spacing w:after="40"/>
      </w:pPr>
    </w:p>
    <w:p>
      <w:pPr>
        <w:spacing w:before="80"/>
      </w:pPr>
      <w:r>
        <w:rPr>
          <w:b w:val="0"/>
          <w:i/>
          <w:color w:val="555555"/>
          <w:sz w:val="16"/>
        </w:rPr>
        <w:t>Both parties confirm they have read, understood, and agree to all terms of this Agreement.</w:t>
      </w:r>
    </w:p>
    <w:sectPr w:rsidR="00FC693F" w:rsidRPr="0006063C" w:rsidSect="00034616">
      <w:pgSz w:w="11909" w:h="16834"/>
      <w:pgMar w:top="850" w:right="1134" w:bottom="1020" w:left="1247"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638" w:type="dxa"/>
      <w:tblBorders>
        <w:top w:val="none" w:sz="0" w:space="0" w:color="auto"/>
        <w:left w:val="none" w:sz="0" w:space="0" w:color="auto"/>
        <w:bottom w:val="single" w:sz="16" w:space="0" w:color="D4A017"/>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col: dark green background, white logo centred -->
      <w:tc>
        <w:tcPr>
          <w:tcW w:w="1700" w:type="dxa"/>
          <w:shd w:val="clear" w:color="auto" w:fill="1B2A6B"/>
          <w:vAlign w:val="center"/>
        </w:tcPr>
        <w:p>
          <w:pPr>
            <w:jc w:val="center"/>
            <w:spacing w:before="60" w:after="6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l: soft light green, company details -->
      <w:tc>
        <w:tcPr>
          <w:tcW w:w="7500" w:type="dxa"/>
          <w:shd w:val="clear" w:color="auto" w:fill="F0F4FF"/>
          <w:vAlign w:val="center"/>
        </w:tcPr>
        <w:p>
          <w:pPr>
            <w:spacing w:before="60" w:after="20"/>
          </w:pPr>
          <w:r>
            <w:rPr>
              <w:b/>
              <w:bCs/>
              <w:color w:val="1B2A6B"/>
              <w:sz w:val="28"/>
              <w:szCs w:val="28"/>
            </w:rPr>
            <w:t>UPALI IMMIGRATION SERVICES</w:t>
          </w:r>
        </w:p>
        <w:p>
          <w:pPr>
            <w:spacing w:before="0" w:after="20"/>
          </w:pPr>
          <w:r>
            <w:rPr>
              <w:i/>
              <w:iCs/>
              <w:color w:val="D4A017"/>
              <w:sz w:val="17"/>
              <w:szCs w:val="17"/>
            </w:rPr>
            <w:t>Immigration Solutions  •  Logistics Connecting Worlds</w:t>
          </w:r>
        </w:p>
        <w:p>
          <w:pPr>
            <w:spacing w:before="0" w:after="16"/>
          </w:pPr>
          <w:r>
            <w:rPr>
              <w:b/>
              <w:bCs/>
              <w:color w:val="2D2D2D"/>
              <w:sz w:val="16"/>
              <w:szCs w:val="16"/>
            </w:rPr>
            <w:t>Licence No. 2646027.01   |   TRN: 105425790000001</w:t>
          </w:r>
        </w:p>
        <w:p>
          <w:pPr>
            <w:spacing w:before="0" w:after="14"/>
          </w:pPr>
          <w:r>
            <w:rPr>
              <w:color w:val="444444"/>
              <w:sz w:val="15"/>
              <w:szCs w:val="15"/>
            </w:rPr>
            <w:t>Shams Free Zone, Sharjah Media City, Sharjah, UAE</w:t>
          </w:r>
        </w:p>
        <w:p>
          <w:pPr>
            <w:spacing w:before="0" w:after="50"/>
          </w:pPr>
          <w:r>
            <w:rPr>
              <w:color w:val="444444"/>
              <w:sz w:val="15"/>
              <w:szCs w:val="15"/>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hImg1" Type="http://schemas.openxmlformats.org/officeDocument/2006/relationships/image" Target="media/hd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