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15"/>
      </w:tblGrid>
      <w:tr>
        <w:tc>
          <w:tcPr>
            <w:tcW w:type="dxa" w:w="9415"/>
            <w:shd w:val="clear" w:color="auto" w:fill="0F3A1A"/>
          </w:tcPr>
          <w:p>
            <w:pPr>
              <w:jc w:val="center"/>
            </w:pPr>
            <w:r>
              <w:rPr>
                <w:b/>
                <w:i w:val="0"/>
                <w:color w:val="FFFFFF"/>
                <w:sz w:val="30"/>
              </w:rPr>
              <w:t>CLIENT SERVICE AGREEMENT</w:t>
            </w:r>
          </w:p>
          <w:p>
            <w:pPr>
              <w:jc w:val="center"/>
            </w:pPr>
            <w:r>
              <w:rPr>
                <w:b w:val="0"/>
                <w:i w:val="0"/>
                <w:color w:val="B8E0C0"/>
                <w:sz w:val="16"/>
              </w:rPr>
              <w:t>Governed by the Laws of the United Arab Emirates  ·  UAE VAT Decree-Law No. 8 of 2017</w:t>
            </w:r>
          </w:p>
          <w:p/>
        </w:tc>
      </w:tr>
    </w:tbl>
    <w:p>
      <w:pPr>
        <w:spacing w:after="80"/>
      </w:pPr>
    </w:p>
    <w:tbl>
      <w:tblPr>
        <w:tblStyle w:val="TableGrid"/>
        <w:tblW w:type="auto" w:w="0"/>
        <w:tblLook w:firstColumn="1" w:firstRow="1" w:lastColumn="0" w:lastRow="0" w:noHBand="0" w:noVBand="1" w:val="04A0"/>
      </w:tblPr>
      <w:tblGrid>
        <w:gridCol w:w="4707"/>
        <w:gridCol w:w="4707"/>
      </w:tblGrid>
      <w:tr>
        <w:tc>
          <w:tcPr>
            <w:tcW w:type="dxa" w:w="2736"/>
            <w:shd w:val="clear" w:color="auto" w:fill="1A5C2A"/>
          </w:tcPr>
          <w:p>
            <w:r>
              <w:rPr>
                <w:b/>
                <w:color w:val="FFFFFF"/>
                <w:sz w:val="16"/>
              </w:rPr>
              <w:t>Agreement Date</w:t>
            </w:r>
          </w:p>
        </w:tc>
        <w:tc>
          <w:tcPr>
            <w:tcW w:type="dxa" w:w="6336"/>
            <w:shd w:val="clear" w:color="auto" w:fill="E8F5EA"/>
          </w:tcPr>
          <w:p>
            <w:r>
              <w:rPr>
                <w:sz w:val="16"/>
              </w:rPr>
              <w:t>${System.Today}</w:t>
            </w:r>
          </w:p>
        </w:tc>
      </w:tr>
      <w:tr>
        <w:tc>
          <w:tcPr>
            <w:tcW w:type="dxa" w:w="2736"/>
            <w:shd w:val="clear" w:color="auto" w:fill="1A5C2A"/>
          </w:tcPr>
          <w:p>
            <w:r>
              <w:rPr>
                <w:b/>
                <w:color w:val="FFFFFF"/>
                <w:sz w:val="16"/>
              </w:rPr>
              <w:t>Agreement Ref No.</w:t>
            </w:r>
          </w:p>
        </w:tc>
        <w:tc>
          <w:tcPr>
            <w:tcW w:type="dxa" w:w="6336"/>
            <w:shd w:val="clear" w:color="auto" w:fill="FFFFFF"/>
          </w:tcPr>
          <w:p>
            <w:r>
              <w:rPr>
                <w:sz w:val="16"/>
              </w:rPr>
              <w:t>${Contacts.Agreement_Reference}</w:t>
            </w:r>
          </w:p>
        </w:tc>
      </w:tr>
      <w:tr>
        <w:tc>
          <w:tcPr>
            <w:tcW w:type="dxa" w:w="2736"/>
            <w:shd w:val="clear" w:color="auto" w:fill="1A5C2A"/>
          </w:tcPr>
          <w:p>
            <w:r>
              <w:rPr>
                <w:b/>
                <w:color w:val="FFFFFF"/>
                <w:sz w:val="16"/>
              </w:rPr>
              <w:t>Client Full Name</w:t>
            </w:r>
          </w:p>
        </w:tc>
        <w:tc>
          <w:tcPr>
            <w:tcW w:type="dxa" w:w="6336"/>
            <w:shd w:val="clear" w:color="auto" w:fill="E8F5EA"/>
          </w:tcPr>
          <w:p>
            <w:r>
              <w:rPr>
                <w:sz w:val="16"/>
              </w:rPr>
              <w:t>${Contacts.First_Name} ${Contacts.Last_Name}</w:t>
            </w:r>
          </w:p>
        </w:tc>
      </w:tr>
      <w:tr>
        <w:tc>
          <w:tcPr>
            <w:tcW w:type="dxa" w:w="2736"/>
            <w:shd w:val="clear" w:color="auto" w:fill="1A5C2A"/>
          </w:tcPr>
          <w:p>
            <w:r>
              <w:rPr>
                <w:b/>
                <w:color w:val="FFFFFF"/>
                <w:sz w:val="16"/>
              </w:rPr>
              <w:t>Nationality</w:t>
            </w:r>
          </w:p>
        </w:tc>
        <w:tc>
          <w:tcPr>
            <w:tcW w:type="dxa" w:w="6336"/>
            <w:shd w:val="clear" w:color="auto" w:fill="FFFFFF"/>
          </w:tcPr>
          <w:p>
            <w:r>
              <w:rPr>
                <w:sz w:val="16"/>
              </w:rPr>
              <w:t>${Contacts.Nationality}</w:t>
            </w:r>
          </w:p>
        </w:tc>
      </w:tr>
      <w:tr>
        <w:tc>
          <w:tcPr>
            <w:tcW w:type="dxa" w:w="2736"/>
            <w:shd w:val="clear" w:color="auto" w:fill="1A5C2A"/>
          </w:tcPr>
          <w:p>
            <w:r>
              <w:rPr>
                <w:b/>
                <w:color w:val="FFFFFF"/>
                <w:sz w:val="16"/>
              </w:rPr>
              <w:t>Passport No.</w:t>
            </w:r>
          </w:p>
        </w:tc>
        <w:tc>
          <w:tcPr>
            <w:tcW w:type="dxa" w:w="6336"/>
            <w:shd w:val="clear" w:color="auto" w:fill="E8F5EA"/>
          </w:tcPr>
          <w:p>
            <w:r>
              <w:rPr>
                <w:sz w:val="16"/>
              </w:rPr>
              <w:t>${Contacts.Passport_Number}</w:t>
            </w:r>
          </w:p>
        </w:tc>
      </w:tr>
      <w:tr>
        <w:tc>
          <w:tcPr>
            <w:tcW w:type="dxa" w:w="2736"/>
            <w:shd w:val="clear" w:color="auto" w:fill="1A5C2A"/>
          </w:tcPr>
          <w:p>
            <w:r>
              <w:rPr>
                <w:b/>
                <w:color w:val="FFFFFF"/>
                <w:sz w:val="16"/>
              </w:rPr>
              <w:t>Date of Birth</w:t>
            </w:r>
          </w:p>
        </w:tc>
        <w:tc>
          <w:tcPr>
            <w:tcW w:type="dxa" w:w="6336"/>
            <w:shd w:val="clear" w:color="auto" w:fill="FFFFFF"/>
          </w:tcPr>
          <w:p>
            <w:r>
              <w:rPr>
                <w:sz w:val="16"/>
              </w:rPr>
              <w:t>${Contacts.Date_of_Birth}</w:t>
            </w:r>
          </w:p>
        </w:tc>
      </w:tr>
      <w:tr>
        <w:tc>
          <w:tcPr>
            <w:tcW w:type="dxa" w:w="2736"/>
            <w:shd w:val="clear" w:color="auto" w:fill="1A5C2A"/>
          </w:tcPr>
          <w:p>
            <w:r>
              <w:rPr>
                <w:b/>
                <w:color w:val="FFFFFF"/>
                <w:sz w:val="16"/>
              </w:rPr>
              <w:t>Contact Number</w:t>
            </w:r>
          </w:p>
        </w:tc>
        <w:tc>
          <w:tcPr>
            <w:tcW w:type="dxa" w:w="6336"/>
            <w:shd w:val="clear" w:color="auto" w:fill="E8F5EA"/>
          </w:tcPr>
          <w:p>
            <w:r>
              <w:rPr>
                <w:sz w:val="16"/>
              </w:rPr>
              <w:t>${Contacts.Phone}</w:t>
            </w:r>
          </w:p>
        </w:tc>
      </w:tr>
      <w:tr>
        <w:tc>
          <w:tcPr>
            <w:tcW w:type="dxa" w:w="2736"/>
            <w:shd w:val="clear" w:color="auto" w:fill="1A5C2A"/>
          </w:tcPr>
          <w:p>
            <w:r>
              <w:rPr>
                <w:b/>
                <w:color w:val="FFFFFF"/>
                <w:sz w:val="16"/>
              </w:rPr>
              <w:t>Email Address</w:t>
            </w:r>
          </w:p>
        </w:tc>
        <w:tc>
          <w:tcPr>
            <w:tcW w:type="dxa" w:w="6336"/>
            <w:shd w:val="clear" w:color="auto" w:fill="FFFFFF"/>
          </w:tcPr>
          <w:p>
            <w:r>
              <w:rPr>
                <w:sz w:val="16"/>
              </w:rPr>
              <w:t>${Contacts.Email}</w:t>
            </w:r>
          </w:p>
        </w:tc>
      </w:tr>
      <w:tr>
        <w:tc>
          <w:tcPr>
            <w:tcW w:type="dxa" w:w="2736"/>
            <w:shd w:val="clear" w:color="auto" w:fill="1A5C2A"/>
          </w:tcPr>
          <w:p>
            <w:r>
              <w:rPr>
                <w:b/>
                <w:color w:val="FFFFFF"/>
                <w:sz w:val="16"/>
              </w:rPr>
              <w:t>Country of Residence</w:t>
            </w:r>
          </w:p>
        </w:tc>
        <w:tc>
          <w:tcPr>
            <w:tcW w:type="dxa" w:w="6336"/>
            <w:shd w:val="clear" w:color="auto" w:fill="E8F5EA"/>
          </w:tcPr>
          <w:p>
            <w:r>
              <w:rPr>
                <w:sz w:val="16"/>
              </w:rPr>
              <w:t>${Contacts.Country_of_Residence}</w:t>
            </w:r>
          </w:p>
        </w:tc>
      </w:tr>
      <w:tr>
        <w:tc>
          <w:tcPr>
            <w:tcW w:type="dxa" w:w="2736"/>
            <w:shd w:val="clear" w:color="auto" w:fill="1A5C2A"/>
          </w:tcPr>
          <w:p>
            <w:r>
              <w:rPr>
                <w:b/>
                <w:color w:val="FFFFFF"/>
                <w:sz w:val="16"/>
              </w:rPr>
              <w:t>Destination Country</w:t>
            </w:r>
          </w:p>
        </w:tc>
        <w:tc>
          <w:tcPr>
            <w:tcW w:type="dxa" w:w="6336"/>
            <w:shd w:val="clear" w:color="auto" w:fill="FFFFFF"/>
          </w:tcPr>
          <w:p>
            <w:r>
              <w:rPr>
                <w:sz w:val="16"/>
              </w:rPr>
              <w:t>${Contacts.Destination_Country}</w:t>
            </w:r>
          </w:p>
        </w:tc>
      </w:tr>
      <w:tr>
        <w:tc>
          <w:tcPr>
            <w:tcW w:type="dxa" w:w="2736"/>
            <w:shd w:val="clear" w:color="auto" w:fill="1A5C2A"/>
          </w:tcPr>
          <w:p>
            <w:r>
              <w:rPr>
                <w:b/>
                <w:color w:val="FFFFFF"/>
                <w:sz w:val="16"/>
              </w:rPr>
              <w:t>Service</w:t>
            </w:r>
          </w:p>
        </w:tc>
        <w:tc>
          <w:tcPr>
            <w:tcW w:type="dxa" w:w="6336"/>
            <w:shd w:val="clear" w:color="auto" w:fill="E8F5EA"/>
          </w:tcPr>
          <w:p>
            <w:r>
              <w:rPr>
                <w:sz w:val="16"/>
              </w:rPr>
              <w:t>${Contacts.Destination_Country} ${Contacts.Visa_Type} — End-to-End Immigration Consultancy</w:t>
            </w:r>
          </w:p>
        </w:tc>
      </w:tr>
    </w:tbl>
    <w:p>
      <w:pPr>
        <w:spacing w:after="80"/>
      </w:pPr>
    </w:p>
    <w:tbl>
      <w:tblPr>
        <w:tblW w:type="auto" w:w="0"/>
        <w:tblLook w:firstColumn="1" w:firstRow="1" w:lastColumn="0" w:lastRow="0" w:noHBand="0" w:noVBand="1" w:val="04A0"/>
      </w:tblPr>
      <w:tblGrid>
        <w:gridCol w:w="9415"/>
      </w:tblGrid>
      <w:tr>
        <w:tc>
          <w:tcPr>
            <w:tcW w:type="dxa" w:w="9415"/>
            <w:shd w:val="clear" w:color="auto" w:fill="FFF8E1"/>
            <w:tcBorders>
              <w:top w:val="single" w:sz="10" w:color="C8A000"/>
              <w:left w:val="single" w:sz="10" w:color="C8A000"/>
              <w:bottom w:val="single" w:sz="10" w:color="C8A000"/>
              <w:right w:val="single" w:sz="10" w:color="C8A000"/>
            </w:tcBorders>
          </w:tcPr>
          <w:p>
            <w:r>
              <w:rPr>
                <w:b/>
                <w:i w:val="0"/>
                <w:color w:val="7D4E00"/>
                <w:sz w:val="17"/>
              </w:rPr>
              <w:t>⚠  REGULATORY NOTICE</w:t>
            </w:r>
          </w:p>
          <w:p>
            <w:r>
              <w:rPr>
                <w:b w:val="0"/>
                <w:i w:val="0"/>
                <w:color w:val="7D4E00"/>
                <w:sz w:val="16"/>
              </w:rPr>
              <w:t>UPALI IMMIGRATION SERVICES is a PRIVATE consultancy licensed by Shams Free Zone, UAE. It is NOT an affiliate of ICP/ICA, GDRFA, Immigration New Zealand, or any government body. All visa decisions rest exclusively with the relevant immigration authority. No outcome is guaranteed.</w:t>
            </w:r>
          </w:p>
        </w:tc>
      </w:tr>
    </w:tbl>
    <w:p>
      <w:pPr>
        <w:spacing w:after="20"/>
      </w:pPr>
    </w:p>
    <w:p>
      <w:pPr>
        <w:spacing w:before="140" w:after="40"/>
      </w:pPr>
      <w:r>
        <w:rPr>
          <w:b/>
          <w:color w:val="1A5C2A"/>
          <w:sz w:val="19"/>
        </w:rPr>
        <w:t>1.  Parties to the Agreement</w:t>
      </w:r>
    </w:p>
    <w:p>
      <w:pPr>
        <w:spacing w:before="0" w:after="40"/>
      </w:pPr>
      <w:r>
        <w:rPr>
          <w:sz w:val="17"/>
        </w:rPr>
        <w:t>This Agreement is between UPALI IMMIGRATION SERVICES, Shams UAE, Licence No. 2646027.01, TRN: 105425790000001 ("Service Provider"), and ${Contacts.First_Name} ${Contacts.Last_Name}, ${Contacts.Nationality}, Passport ${Contacts.Passport_Number}, resident of ${Contacts.Country_of_Residence} ("Client"). The Service Provider is a private firm and NOT a representative of any government immigration authority.</w:t>
      </w:r>
    </w:p>
    <w:p>
      <w:pPr>
        <w:spacing w:before="140" w:after="40"/>
      </w:pPr>
      <w:r>
        <w:rPr>
          <w:b/>
          <w:color w:val="1A5C2A"/>
          <w:sz w:val="19"/>
        </w:rPr>
        <w:t>2.  Scope of Services</w:t>
      </w:r>
    </w:p>
    <w:p>
      <w:pPr>
        <w:spacing w:before="0" w:after="40"/>
      </w:pPr>
      <w:r>
        <w:rPr>
          <w:sz w:val="17"/>
        </w:rPr>
        <w:t>The Service Provider agrees to provide the following for the Client's ${Contacts.Destination_Country} ${Contacts.Visa_Type} application:</w:t>
      </w:r>
    </w:p>
    <w:p>
      <w:pPr>
        <w:pStyle w:val="ListBullet"/>
        <w:spacing w:before="0" w:after="20"/>
        <w:ind w:left="432"/>
      </w:pPr>
      <w:r>
        <w:rPr>
          <w:sz w:val="17"/>
        </w:rPr>
        <w:t>End-to-end consultancy on the ${Contacts.Destination_Country} ${Contacts.Visa_Type} pathway</w:t>
      </w:r>
    </w:p>
    <w:p>
      <w:pPr>
        <w:pStyle w:val="ListBullet"/>
        <w:spacing w:before="0" w:after="20"/>
        <w:ind w:left="432"/>
      </w:pPr>
      <w:r>
        <w:rPr>
          <w:sz w:val="17"/>
        </w:rPr>
        <w:t>Eligibility assessment and document review</w:t>
      </w:r>
    </w:p>
    <w:p>
      <w:pPr>
        <w:pStyle w:val="ListBullet"/>
        <w:spacing w:before="0" w:after="20"/>
        <w:ind w:left="432"/>
      </w:pPr>
      <w:r>
        <w:rPr>
          <w:sz w:val="17"/>
        </w:rPr>
        <w:t>Visa application preparation and submission to ${Contacts.Destination_Country} Immigration</w:t>
      </w:r>
    </w:p>
    <w:p>
      <w:pPr>
        <w:pStyle w:val="ListBullet"/>
        <w:spacing w:before="0" w:after="20"/>
        <w:ind w:left="432"/>
      </w:pPr>
      <w:r>
        <w:rPr>
          <w:sz w:val="17"/>
        </w:rPr>
        <w:t>Coordination of biometric / embassy appointments</w:t>
      </w:r>
    </w:p>
    <w:p>
      <w:pPr>
        <w:pStyle w:val="ListBullet"/>
        <w:spacing w:before="0" w:after="20"/>
        <w:ind w:left="432"/>
      </w:pPr>
      <w:r>
        <w:rPr>
          <w:sz w:val="17"/>
        </w:rPr>
        <w:t>Liaison with employers, sponsors, and government authorities</w:t>
      </w:r>
    </w:p>
    <w:p>
      <w:pPr>
        <w:pStyle w:val="ListBullet"/>
        <w:spacing w:before="0" w:after="20"/>
        <w:ind w:left="432"/>
      </w:pPr>
      <w:r>
        <w:rPr>
          <w:sz w:val="17"/>
        </w:rPr>
        <w:t>International air-ticket booking (UAE → ${Contacts.Destination_Country})</w:t>
      </w:r>
    </w:p>
    <w:p>
      <w:pPr>
        <w:pStyle w:val="ListBullet"/>
        <w:spacing w:before="0" w:after="20"/>
        <w:ind w:left="432"/>
      </w:pPr>
      <w:r>
        <w:rPr>
          <w:sz w:val="17"/>
        </w:rPr>
        <w:t>Post-arrival orientation support</w:t>
      </w:r>
    </w:p>
    <w:p>
      <w:pPr>
        <w:spacing w:before="140" w:after="40"/>
      </w:pPr>
      <w:r>
        <w:rPr>
          <w:b/>
          <w:color w:val="1A5C2A"/>
          <w:sz w:val="19"/>
        </w:rPr>
        <w:t>3.  Client Obligations</w:t>
      </w:r>
    </w:p>
    <w:p>
      <w:pPr>
        <w:pStyle w:val="ListBullet"/>
        <w:spacing w:before="0" w:after="20"/>
        <w:ind w:left="432"/>
      </w:pPr>
      <w:r>
        <w:rPr>
          <w:sz w:val="17"/>
        </w:rPr>
        <w:t>Provide all required documents in a timely and accurate manner.</w:t>
      </w:r>
    </w:p>
    <w:p>
      <w:pPr>
        <w:pStyle w:val="ListBullet"/>
        <w:spacing w:before="0" w:after="20"/>
        <w:ind w:left="432"/>
      </w:pPr>
      <w:r>
        <w:rPr>
          <w:sz w:val="17"/>
        </w:rPr>
        <w:t>Disclose truthful, complete, and accurate information. Misrepresentation is a material breach (§8.3).</w:t>
      </w:r>
    </w:p>
    <w:p>
      <w:pPr>
        <w:pStyle w:val="ListBullet"/>
        <w:spacing w:before="0" w:after="20"/>
        <w:ind w:left="432"/>
      </w:pPr>
      <w:r>
        <w:rPr>
          <w:sz w:val="17"/>
        </w:rPr>
        <w:t>Pay all agreed fees within the specified payment schedule.</w:t>
      </w:r>
    </w:p>
    <w:p>
      <w:pPr>
        <w:pStyle w:val="ListBullet"/>
        <w:spacing w:before="0" w:after="20"/>
        <w:ind w:left="432"/>
      </w:pPr>
      <w:r>
        <w:rPr>
          <w:sz w:val="17"/>
        </w:rPr>
        <w:t>Notify the Service Provider immediately of any changes in personal circumstances.</w:t>
      </w:r>
    </w:p>
    <w:p>
      <w:pPr>
        <w:pStyle w:val="ListBullet"/>
        <w:spacing w:before="0" w:after="20"/>
        <w:ind w:left="432"/>
      </w:pPr>
      <w:r>
        <w:rPr>
          <w:sz w:val="17"/>
        </w:rPr>
        <w:t>Cooperate fully throughout the process and provide zero-rating documents per §5.6.</w:t>
      </w:r>
    </w:p>
    <w:p>
      <w:pPr>
        <w:pStyle w:val="ListBullet"/>
        <w:spacing w:before="0" w:after="20"/>
        <w:ind w:left="432"/>
      </w:pPr>
      <w:r>
        <w:rPr>
          <w:sz w:val="17"/>
        </w:rPr>
        <w:t>Confirm all payment funds are from a lawful source (§11).</w:t>
      </w:r>
    </w:p>
    <w:p>
      <w:pPr>
        <w:spacing w:before="140" w:after="40"/>
      </w:pPr>
      <w:r>
        <w:rPr>
          <w:b/>
          <w:color w:val="1A5C2A"/>
          <w:sz w:val="19"/>
        </w:rPr>
        <w:t>4.  Cancellation Right &amp; Cooling-Off Period  (Consumer Protection Law No. 15 of 2020)</w:t>
      </w:r>
    </w:p>
    <w:p>
      <w:pPr>
        <w:spacing w:before="0" w:after="40"/>
      </w:pPr>
      <w:r>
        <w:rPr>
          <w:sz w:val="17"/>
        </w:rPr>
        <w:t>4.1  The Client may cancel within seven (7) calendar days of signing, provided services have not yet commenced. Cancellation must be in writing.</w:t>
      </w:r>
    </w:p>
    <w:p>
      <w:pPr>
        <w:spacing w:before="0" w:after="40"/>
      </w:pPr>
      <w:r>
        <w:rPr>
          <w:sz w:val="17"/>
        </w:rPr>
        <w:t>4.2  Full refund within 14 days if no services commenced, less any non-recoverable third-party costs already incurred.</w:t>
      </w:r>
    </w:p>
    <w:p>
      <w:pPr>
        <w:spacing w:before="0" w:after="40"/>
      </w:pPr>
      <w:r>
        <w:rPr>
          <w:sz w:val="17"/>
        </w:rPr>
        <w:t>4.3  The Service Provider will notify the Client in writing when services formally commence. Once commenced, the pro-rata policy (§7) applies.</w:t>
      </w:r>
    </w:p>
    <w:p>
      <w:pPr>
        <w:spacing w:before="140" w:after="40"/>
      </w:pPr>
      <w:r>
        <w:rPr>
          <w:b/>
          <w:color w:val="1A5C2A"/>
          <w:sz w:val="19"/>
        </w:rPr>
        <w:t>5.  Fees, VAT Treatment and Payment  (FTA-Compliant — UAE VAT Decree-Law No. 8 of 2017)</w:t>
      </w:r>
    </w:p>
    <w:p>
      <w:pPr>
        <w:spacing w:before="0" w:after="40"/>
      </w:pPr>
      <w:r>
        <w:rPr>
          <w:sz w:val="17"/>
        </w:rPr>
        <w:t>5.1  All fees in AED. Each component itemised below with its own VAT treatment. Bundled pricing not permitted under FTA rules.</w:t>
      </w:r>
    </w:p>
    <w:tbl>
      <w:tblPr>
        <w:tblStyle w:val="TableGrid"/>
        <w:tblW w:type="auto" w:w="0"/>
        <w:tblLook w:firstColumn="1" w:firstRow="1" w:lastColumn="0" w:lastRow="0" w:noHBand="0" w:noVBand="1" w:val="04A0"/>
      </w:tblPr>
      <w:tblGrid>
        <w:gridCol w:w="1883"/>
        <w:gridCol w:w="1883"/>
        <w:gridCol w:w="1883"/>
        <w:gridCol w:w="1883"/>
        <w:gridCol w:w="1883"/>
      </w:tblGrid>
      <w:tr>
        <w:tc>
          <w:tcPr>
            <w:tcW w:type="dxa" w:w="360"/>
            <w:shd w:val="clear" w:color="auto" w:fill="1A5C2A"/>
          </w:tcPr>
          <w:p>
            <w:r>
              <w:rPr>
                <w:b/>
                <w:color w:val="FFFFFF"/>
                <w:sz w:val="16"/>
              </w:rPr>
              <w:t>#</w:t>
            </w:r>
          </w:p>
        </w:tc>
        <w:tc>
          <w:tcPr>
            <w:tcW w:type="dxa" w:w="4032"/>
            <w:shd w:val="clear" w:color="auto" w:fill="1A5C2A"/>
          </w:tcPr>
          <w:p>
            <w:r>
              <w:rPr>
                <w:b/>
                <w:color w:val="FFFFFF"/>
                <w:sz w:val="16"/>
              </w:rPr>
              <w:t>Description</w:t>
            </w:r>
          </w:p>
        </w:tc>
        <w:tc>
          <w:tcPr>
            <w:tcW w:type="dxa" w:w="1440"/>
            <w:shd w:val="clear" w:color="auto" w:fill="1A5C2A"/>
          </w:tcPr>
          <w:p>
            <w:r>
              <w:rPr>
                <w:b/>
                <w:color w:val="FFFFFF"/>
                <w:sz w:val="16"/>
              </w:rPr>
              <w:t>Amount AED</w:t>
            </w:r>
          </w:p>
        </w:tc>
        <w:tc>
          <w:tcPr>
            <w:tcW w:type="dxa" w:w="1944"/>
            <w:shd w:val="clear" w:color="auto" w:fill="1A5C2A"/>
          </w:tcPr>
          <w:p>
            <w:r>
              <w:rPr>
                <w:b/>
                <w:color w:val="FFFFFF"/>
                <w:sz w:val="16"/>
              </w:rPr>
              <w:t>VAT Rate</w:t>
            </w:r>
          </w:p>
        </w:tc>
        <w:tc>
          <w:tcPr>
            <w:tcW w:type="dxa" w:w="1008"/>
            <w:shd w:val="clear" w:color="auto" w:fill="1A5C2A"/>
          </w:tcPr>
          <w:p>
            <w:r>
              <w:rPr>
                <w:b/>
                <w:color w:val="FFFFFF"/>
                <w:sz w:val="16"/>
              </w:rPr>
              <w:t>VAT AED</w:t>
            </w:r>
          </w:p>
        </w:tc>
      </w:tr>
      <w:tr>
        <w:tc>
          <w:tcPr>
            <w:tcW w:type="dxa" w:w="360"/>
            <w:shd w:val="clear" w:color="auto" w:fill="E8F5EA"/>
          </w:tcPr>
          <w:p>
            <w:r>
              <w:rPr>
                <w:sz w:val="16"/>
              </w:rPr>
              <w:t>1</w:t>
            </w:r>
          </w:p>
        </w:tc>
        <w:tc>
          <w:tcPr>
            <w:tcW w:type="dxa" w:w="4032"/>
            <w:shd w:val="clear" w:color="auto" w:fill="E8F5EA"/>
          </w:tcPr>
          <w:p>
            <w:r>
              <w:rPr>
                <w:sz w:val="16"/>
              </w:rPr>
              <w:t>Consultancy Fee — ${Contacts.Destination_Country} ${Contacts.Visa_Type}</w:t>
            </w:r>
          </w:p>
        </w:tc>
        <w:tc>
          <w:tcPr>
            <w:tcW w:type="dxa" w:w="1440"/>
            <w:shd w:val="clear" w:color="auto" w:fill="E8F5EA"/>
          </w:tcPr>
          <w:p>
            <w:r>
              <w:rPr>
                <w:sz w:val="16"/>
              </w:rPr>
              <w:t>${Contacts.Consultancy_Fee_AED}</w:t>
            </w:r>
          </w:p>
        </w:tc>
        <w:tc>
          <w:tcPr>
            <w:tcW w:type="dxa" w:w="1944"/>
            <w:shd w:val="clear" w:color="auto" w:fill="E8F5EA"/>
          </w:tcPr>
          <w:p>
            <w:r>
              <w:rPr>
                <w:sz w:val="16"/>
              </w:rPr>
              <w:t>0% Zero-Rated (Art. 31)</w:t>
            </w:r>
          </w:p>
        </w:tc>
        <w:tc>
          <w:tcPr>
            <w:tcW w:type="dxa" w:w="1008"/>
            <w:shd w:val="clear" w:color="auto" w:fill="E8F5EA"/>
          </w:tcPr>
          <w:p>
            <w:r>
              <w:rPr>
                <w:sz w:val="16"/>
              </w:rPr>
              <w:t>0.00</w:t>
            </w:r>
          </w:p>
        </w:tc>
      </w:tr>
      <w:tr>
        <w:tc>
          <w:tcPr>
            <w:tcW w:type="dxa" w:w="360"/>
            <w:shd w:val="clear" w:color="auto" w:fill="FFFFFF"/>
          </w:tcPr>
          <w:p>
            <w:r>
              <w:rPr>
                <w:sz w:val="16"/>
              </w:rPr>
              <w:t>2</w:t>
            </w:r>
          </w:p>
        </w:tc>
        <w:tc>
          <w:tcPr>
            <w:tcW w:type="dxa" w:w="4032"/>
            <w:shd w:val="clear" w:color="auto" w:fill="FFFFFF"/>
          </w:tcPr>
          <w:p>
            <w:r>
              <w:rPr>
                <w:sz w:val="16"/>
              </w:rPr>
              <w:t>Visa Application Fee (${Contacts.Destination_Country} Immigration)</w:t>
              <w:br/>
              <w:t>Govt disbursement — actual receipt matched</w:t>
            </w:r>
          </w:p>
        </w:tc>
        <w:tc>
          <w:tcPr>
            <w:tcW w:type="dxa" w:w="1440"/>
            <w:shd w:val="clear" w:color="auto" w:fill="FFFFFF"/>
          </w:tcPr>
          <w:p>
            <w:r>
              <w:rPr>
                <w:sz w:val="16"/>
              </w:rPr>
              <w:t>${Contacts.Visa_Fee_AED}</w:t>
            </w:r>
          </w:p>
        </w:tc>
        <w:tc>
          <w:tcPr>
            <w:tcW w:type="dxa" w:w="1944"/>
            <w:shd w:val="clear" w:color="auto" w:fill="FFFFFF"/>
          </w:tcPr>
          <w:p>
            <w:r>
              <w:rPr>
                <w:sz w:val="16"/>
              </w:rPr>
              <w:t>Out of Scope</w:t>
            </w:r>
          </w:p>
        </w:tc>
        <w:tc>
          <w:tcPr>
            <w:tcW w:type="dxa" w:w="1008"/>
            <w:shd w:val="clear" w:color="auto" w:fill="FFFFFF"/>
          </w:tcPr>
          <w:p>
            <w:r>
              <w:rPr>
                <w:sz w:val="16"/>
              </w:rPr>
              <w:t>—</w:t>
            </w:r>
          </w:p>
        </w:tc>
      </w:tr>
      <w:tr>
        <w:tc>
          <w:tcPr>
            <w:tcW w:type="dxa" w:w="360"/>
            <w:shd w:val="clear" w:color="auto" w:fill="E8F5EA"/>
          </w:tcPr>
          <w:p>
            <w:r>
              <w:rPr>
                <w:sz w:val="16"/>
              </w:rPr>
              <w:t>3</w:t>
            </w:r>
          </w:p>
        </w:tc>
        <w:tc>
          <w:tcPr>
            <w:tcW w:type="dxa" w:w="4032"/>
            <w:shd w:val="clear" w:color="auto" w:fill="E8F5EA"/>
          </w:tcPr>
          <w:p>
            <w:r>
              <w:rPr>
                <w:sz w:val="16"/>
              </w:rPr>
              <w:t>Biometric / Embassy Appointment Fee</w:t>
              <w:br/>
              <w:t>Govt disbursement — receipt matched</w:t>
            </w:r>
          </w:p>
        </w:tc>
        <w:tc>
          <w:tcPr>
            <w:tcW w:type="dxa" w:w="1440"/>
            <w:shd w:val="clear" w:color="auto" w:fill="E8F5EA"/>
          </w:tcPr>
          <w:p>
            <w:r>
              <w:rPr>
                <w:sz w:val="16"/>
              </w:rPr>
              <w:t>${Contacts.Biometric_Fee_AED}</w:t>
            </w:r>
          </w:p>
        </w:tc>
        <w:tc>
          <w:tcPr>
            <w:tcW w:type="dxa" w:w="1944"/>
            <w:shd w:val="clear" w:color="auto" w:fill="E8F5EA"/>
          </w:tcPr>
          <w:p>
            <w:r>
              <w:rPr>
                <w:sz w:val="16"/>
              </w:rPr>
              <w:t>Out of Scope</w:t>
            </w:r>
          </w:p>
        </w:tc>
        <w:tc>
          <w:tcPr>
            <w:tcW w:type="dxa" w:w="1008"/>
            <w:shd w:val="clear" w:color="auto" w:fill="E8F5EA"/>
          </w:tcPr>
          <w:p>
            <w:r>
              <w:rPr>
                <w:sz w:val="16"/>
              </w:rPr>
              <w:t>—</w:t>
            </w:r>
          </w:p>
        </w:tc>
      </w:tr>
      <w:tr>
        <w:tc>
          <w:tcPr>
            <w:tcW w:type="dxa" w:w="360"/>
            <w:shd w:val="clear" w:color="auto" w:fill="FFFFFF"/>
          </w:tcPr>
          <w:p>
            <w:r>
              <w:rPr>
                <w:sz w:val="16"/>
              </w:rPr>
              <w:t>4</w:t>
            </w:r>
          </w:p>
        </w:tc>
        <w:tc>
          <w:tcPr>
            <w:tcW w:type="dxa" w:w="4032"/>
            <w:shd w:val="clear" w:color="auto" w:fill="FFFFFF"/>
          </w:tcPr>
          <w:p>
            <w:r>
              <w:rPr>
                <w:sz w:val="16"/>
              </w:rPr>
              <w:t>International Air Ticket (UAE → ${Contacts.Destination_Country})</w:t>
              <w:br/>
              <w:t>Zero-rated under Article 45(3)</w:t>
            </w:r>
          </w:p>
        </w:tc>
        <w:tc>
          <w:tcPr>
            <w:tcW w:type="dxa" w:w="1440"/>
            <w:shd w:val="clear" w:color="auto" w:fill="FFFFFF"/>
          </w:tcPr>
          <w:p>
            <w:r>
              <w:rPr>
                <w:sz w:val="16"/>
              </w:rPr>
              <w:t>${Contacts.Airticket_Fee_AED}</w:t>
            </w:r>
          </w:p>
        </w:tc>
        <w:tc>
          <w:tcPr>
            <w:tcW w:type="dxa" w:w="1944"/>
            <w:shd w:val="clear" w:color="auto" w:fill="FFFFFF"/>
          </w:tcPr>
          <w:p>
            <w:r>
              <w:rPr>
                <w:sz w:val="16"/>
              </w:rPr>
              <w:t>0% Zero-Rated</w:t>
            </w:r>
          </w:p>
        </w:tc>
        <w:tc>
          <w:tcPr>
            <w:tcW w:type="dxa" w:w="1008"/>
            <w:shd w:val="clear" w:color="auto" w:fill="FFFFFF"/>
          </w:tcPr>
          <w:p>
            <w:r>
              <w:rPr>
                <w:sz w:val="16"/>
              </w:rPr>
              <w:t>—</w:t>
            </w:r>
          </w:p>
        </w:tc>
      </w:tr>
      <w:tr>
        <w:tc>
          <w:tcPr>
            <w:tcW w:type="dxa" w:w="360"/>
            <w:shd w:val="clear" w:color="auto" w:fill="E8F5EA"/>
          </w:tcPr>
          <w:p>
            <w:r>
              <w:rPr>
                <w:b/>
                <w:sz w:val="16"/>
              </w:rPr>
            </w:r>
          </w:p>
        </w:tc>
        <w:tc>
          <w:tcPr>
            <w:tcW w:type="dxa" w:w="4032"/>
            <w:shd w:val="clear" w:color="auto" w:fill="E8F5EA"/>
          </w:tcPr>
          <w:p>
            <w:r>
              <w:rPr>
                <w:b/>
                <w:sz w:val="16"/>
              </w:rPr>
              <w:t>TOTAL DUE  (Outside-UAE — Zero-Rated)</w:t>
            </w:r>
          </w:p>
        </w:tc>
        <w:tc>
          <w:tcPr>
            <w:tcW w:type="dxa" w:w="1440"/>
            <w:shd w:val="clear" w:color="auto" w:fill="E8F5EA"/>
          </w:tcPr>
          <w:p>
            <w:r>
              <w:rPr>
                <w:b/>
                <w:sz w:val="16"/>
              </w:rPr>
              <w:t>AED ${Contacts.Package_Price_AED}</w:t>
            </w:r>
          </w:p>
        </w:tc>
        <w:tc>
          <w:tcPr>
            <w:tcW w:type="dxa" w:w="1944"/>
            <w:shd w:val="clear" w:color="auto" w:fill="E8F5EA"/>
          </w:tcPr>
          <w:p>
            <w:r>
              <w:rPr>
                <w:b/>
                <w:sz w:val="16"/>
              </w:rPr>
            </w:r>
          </w:p>
        </w:tc>
        <w:tc>
          <w:tcPr>
            <w:tcW w:type="dxa" w:w="1008"/>
            <w:shd w:val="clear" w:color="auto" w:fill="E8F5EA"/>
          </w:tcPr>
          <w:p>
            <w:r>
              <w:rPr>
                <w:b/>
                <w:sz w:val="16"/>
              </w:rPr>
              <w:t>0.00</w:t>
            </w:r>
          </w:p>
        </w:tc>
      </w:tr>
    </w:tbl>
    <w:p>
      <w:pPr>
        <w:spacing w:after="40"/>
      </w:pPr>
    </w:p>
    <w:p>
      <w:pPr>
        <w:spacing w:before="0" w:after="40"/>
      </w:pPr>
      <w:r>
        <w:rPr>
          <w:sz w:val="17"/>
        </w:rPr>
        <w:t>5.2  Consultancy Fee zero-rated under Article 31 UAE VAT Executive Regulations as export of services (§5.3 and §5.6 conditions must be met).</w:t>
      </w:r>
    </w:p>
    <w:p>
      <w:pPr>
        <w:spacing w:before="0" w:after="40"/>
      </w:pPr>
      <w:r>
        <w:rPr>
          <w:sz w:val="17"/>
        </w:rPr>
        <w:t>5.3  Zero-rating applies only where: (i) Client resides outside UAE; (ii) no UAE establishment; (iii) Client outside UAE during service; (iv) services not related to UAE real estate. If Client enters UAE, 5% VAT applies via supplementary Tax Invoice.</w:t>
      </w:r>
    </w:p>
    <w:p>
      <w:pPr>
        <w:spacing w:before="0" w:after="40"/>
      </w:pPr>
      <w:r>
        <w:rPr>
          <w:sz w:val="17"/>
        </w:rPr>
        <w:t>5.4  Government Disbursements out-of-scope of VAT, recharged at cost, reconciled to actual receipts in the final Tax Invoice.</w:t>
      </w:r>
    </w:p>
    <w:p>
      <w:pPr>
        <w:spacing w:before="0" w:after="40"/>
      </w:pPr>
      <w:r>
        <w:rPr>
          <w:sz w:val="17"/>
        </w:rPr>
        <w:t>5.5  Air Ticket zero-rated under Article 45(3) UAE VAT Law as international passenger transport.</w:t>
      </w:r>
    </w:p>
    <w:p>
      <w:pPr>
        <w:spacing w:before="0" w:after="40"/>
      </w:pPr>
      <w:r>
        <w:rPr>
          <w:sz w:val="17"/>
        </w:rPr>
        <w:t>5.6  Zero-Rating Docs required: (a) valid passport showing no UAE residency; (b) proof of foreign address (not older than 3 months); (c) signed declaration of physical absence from UAE during service period.</w:t>
      </w:r>
    </w:p>
    <w:p>
      <w:pPr>
        <w:spacing w:before="0" w:after="40"/>
      </w:pPr>
      <w:r>
        <w:rPr>
          <w:sz w:val="17"/>
        </w:rPr>
        <w:t>5.7  Payment: (a) AED ${Contacts.Initial_Payment_AED} on signing; (b) AED ${Contacts.Final_Payment_AED} on visa approval before air ticket. Late payment beyond 7 days may attract 2% per month administrative charge.</w:t>
      </w:r>
    </w:p>
    <w:p>
      <w:pPr>
        <w:spacing w:before="0" w:after="40"/>
      </w:pPr>
      <w:r>
        <w:rPr>
          <w:sz w:val="17"/>
        </w:rPr>
        <w:t>5.8  Tax records retained minimum 5 years per Article 78, UAE VAT Law.</w:t>
      </w:r>
    </w:p>
    <w:p>
      <w:pPr>
        <w:spacing w:before="140" w:after="40"/>
      </w:pPr>
      <w:r>
        <w:rPr>
          <w:b/>
          <w:color w:val="1A5C2A"/>
          <w:sz w:val="19"/>
        </w:rPr>
        <w:t>6.  Confidentiality &amp; Data Protection  (UAE PDPL — Federal Decree-Law No. 45 of 2021)</w:t>
      </w:r>
    </w:p>
    <w:p>
      <w:pPr>
        <w:spacing w:before="0" w:after="40"/>
      </w:pPr>
      <w:r>
        <w:rPr>
          <w:sz w:val="17"/>
        </w:rPr>
        <w:t>6.1  Personal Data Collected: full name, nationality, passport number, DOB, phone, email, country of residence, financial info, immigration history.</w:t>
      </w:r>
    </w:p>
    <w:p>
      <w:pPr>
        <w:spacing w:before="0" w:after="40"/>
      </w:pPr>
      <w:r>
        <w:rPr>
          <w:sz w:val="17"/>
        </w:rPr>
        <w:t>6.2  Consent: By signing, the Client provides informed, freely given, specific consent to collection and processing of Personal Data solely to deliver the agreed services. Consent may be withdrawn in writing, subject to legal retention obligations.</w:t>
      </w:r>
    </w:p>
    <w:p>
      <w:pPr>
        <w:spacing w:before="0" w:after="40"/>
      </w:pPr>
      <w:r>
        <w:rPr>
          <w:sz w:val="17"/>
        </w:rPr>
        <w:t>6.3  Purpose Limitation: Data used exclusively for visa application, liaison with ${Contacts.Destination_Country} Immigration/biometric providers/airlines, FTA/AML compliance, and Tax Invoice issuance. Not used for marketing or sold.</w:t>
      </w:r>
    </w:p>
    <w:p>
      <w:pPr>
        <w:spacing w:before="0" w:after="40"/>
      </w:pPr>
      <w:r>
        <w:rPr>
          <w:sz w:val="17"/>
        </w:rPr>
        <w:t>6.4  Third-Party Disclosure: Data may be shared with ${Contacts.Destination_Country} Immigration, biometric providers, airlines, UAE FTA, and UAE FIU (AML obligations).</w:t>
      </w:r>
    </w:p>
    <w:p>
      <w:pPr>
        <w:spacing w:before="0" w:after="40"/>
      </w:pPr>
      <w:r>
        <w:rPr>
          <w:sz w:val="17"/>
        </w:rPr>
        <w:t>6.5  Cross-Border Transfer: Client consents to Personal Data transfer from UAE to ${Contacts.Destination_Country} per Article 22, UAE PDPL.</w:t>
      </w:r>
    </w:p>
    <w:p>
      <w:pPr>
        <w:spacing w:before="0" w:after="40"/>
      </w:pPr>
      <w:r>
        <w:rPr>
          <w:sz w:val="17"/>
        </w:rPr>
        <w:t>6.6  Data Subject Rights: Client may access, correct, erase, and withdraw consent. Complaints to the UAE Data Office.</w:t>
      </w:r>
    </w:p>
    <w:p>
      <w:pPr>
        <w:spacing w:before="0" w:after="40"/>
      </w:pPr>
      <w:r>
        <w:rPr>
          <w:sz w:val="17"/>
        </w:rPr>
        <w:t>6.7  Retention: Data retained for service duration plus 5 years (UAE VAT Art. 78 &amp; AML), then securely deleted.</w:t>
      </w:r>
    </w:p>
    <w:p>
      <w:pPr>
        <w:spacing w:before="0" w:after="40"/>
      </w:pPr>
      <w:r>
        <w:rPr>
          <w:sz w:val="17"/>
        </w:rPr>
        <w:t>6.8  Data Breach: Client notified within 72 hours of any breach affecting their Personal Data.</w:t>
      </w:r>
    </w:p>
    <w:p>
      <w:pPr>
        <w:spacing w:before="140" w:after="40"/>
      </w:pPr>
      <w:r>
        <w:rPr>
          <w:b/>
          <w:color w:val="1A5C2A"/>
          <w:sz w:val="19"/>
        </w:rPr>
        <w:t>7.  Refund Policy  (Consumer Protection Compliant)</w:t>
      </w:r>
    </w:p>
    <w:p>
      <w:pPr>
        <w:spacing w:before="0" w:after="40"/>
      </w:pPr>
      <w:r>
        <w:rPr>
          <w:sz w:val="17"/>
        </w:rPr>
        <w:t>7.1  Cooling-off refund: full refund within 14 days if cancelled before service commencement (§4).</w:t>
      </w:r>
    </w:p>
    <w:p>
      <w:pPr>
        <w:spacing w:before="0" w:after="40"/>
      </w:pPr>
      <w:r>
        <w:rPr>
          <w:sz w:val="17"/>
        </w:rPr>
        <w:t>7.2  Pro-rata refund schedule after service commencement:</w:t>
      </w:r>
    </w:p>
    <w:tbl>
      <w:tblPr>
        <w:tblStyle w:val="TableGrid"/>
        <w:tblW w:type="auto" w:w="0"/>
        <w:tblLook w:firstColumn="1" w:firstRow="1" w:lastColumn="0" w:lastRow="0" w:noHBand="0" w:noVBand="1" w:val="04A0"/>
      </w:tblPr>
      <w:tblGrid>
        <w:gridCol w:w="3138"/>
        <w:gridCol w:w="3138"/>
        <w:gridCol w:w="3138"/>
      </w:tblGrid>
      <w:tr>
        <w:tc>
          <w:tcPr>
            <w:tcW w:type="dxa" w:w="1152"/>
            <w:shd w:val="clear" w:color="auto" w:fill="1A5C2A"/>
          </w:tcPr>
          <w:p>
            <w:r>
              <w:rPr>
                <w:b/>
                <w:color w:val="FFFFFF"/>
                <w:sz w:val="16"/>
              </w:rPr>
              <w:t>Stage</w:t>
            </w:r>
          </w:p>
        </w:tc>
        <w:tc>
          <w:tcPr>
            <w:tcW w:type="dxa" w:w="4032"/>
            <w:shd w:val="clear" w:color="auto" w:fill="1A5C2A"/>
          </w:tcPr>
          <w:p>
            <w:r>
              <w:rPr>
                <w:b/>
                <w:color w:val="FFFFFF"/>
                <w:sz w:val="16"/>
              </w:rPr>
              <w:t>Milestone</w:t>
            </w:r>
          </w:p>
        </w:tc>
        <w:tc>
          <w:tcPr>
            <w:tcW w:type="dxa" w:w="3888"/>
            <w:shd w:val="clear" w:color="auto" w:fill="1A5C2A"/>
          </w:tcPr>
          <w:p>
            <w:r>
              <w:rPr>
                <w:b/>
                <w:color w:val="FFFFFF"/>
                <w:sz w:val="16"/>
              </w:rPr>
              <w:t>Client Refund Entitlement</w:t>
            </w:r>
          </w:p>
        </w:tc>
      </w:tr>
      <w:tr>
        <w:tc>
          <w:tcPr>
            <w:tcW w:type="dxa" w:w="1152"/>
            <w:shd w:val="clear" w:color="auto" w:fill="E8F5EA"/>
          </w:tcPr>
          <w:p>
            <w:r>
              <w:rPr>
                <w:sz w:val="16"/>
              </w:rPr>
              <w:t>Stage 1</w:t>
            </w:r>
          </w:p>
        </w:tc>
        <w:tc>
          <w:tcPr>
            <w:tcW w:type="dxa" w:w="4032"/>
            <w:shd w:val="clear" w:color="auto" w:fill="E8F5EA"/>
          </w:tcPr>
          <w:p>
            <w:r>
              <w:rPr>
                <w:sz w:val="16"/>
              </w:rPr>
              <w:t>Eligibility assessment completed</w:t>
            </w:r>
          </w:p>
        </w:tc>
        <w:tc>
          <w:tcPr>
            <w:tcW w:type="dxa" w:w="3888"/>
            <w:shd w:val="clear" w:color="auto" w:fill="E8F5EA"/>
          </w:tcPr>
          <w:p>
            <w:r>
              <w:rPr>
                <w:sz w:val="16"/>
              </w:rPr>
              <w:t>90% of Consultancy Fee refundable</w:t>
            </w:r>
          </w:p>
        </w:tc>
      </w:tr>
      <w:tr>
        <w:tc>
          <w:tcPr>
            <w:tcW w:type="dxa" w:w="1152"/>
            <w:shd w:val="clear" w:color="auto" w:fill="FFFFFF"/>
          </w:tcPr>
          <w:p>
            <w:r>
              <w:rPr>
                <w:sz w:val="16"/>
              </w:rPr>
              <w:t>Stage 2</w:t>
            </w:r>
          </w:p>
        </w:tc>
        <w:tc>
          <w:tcPr>
            <w:tcW w:type="dxa" w:w="4032"/>
            <w:shd w:val="clear" w:color="auto" w:fill="FFFFFF"/>
          </w:tcPr>
          <w:p>
            <w:r>
              <w:rPr>
                <w:sz w:val="16"/>
              </w:rPr>
              <w:t>Document review &amp; application prepared</w:t>
            </w:r>
          </w:p>
        </w:tc>
        <w:tc>
          <w:tcPr>
            <w:tcW w:type="dxa" w:w="3888"/>
            <w:shd w:val="clear" w:color="auto" w:fill="FFFFFF"/>
          </w:tcPr>
          <w:p>
            <w:r>
              <w:rPr>
                <w:sz w:val="16"/>
              </w:rPr>
              <w:t>60% of Consultancy Fee refundable</w:t>
            </w:r>
          </w:p>
        </w:tc>
      </w:tr>
      <w:tr>
        <w:tc>
          <w:tcPr>
            <w:tcW w:type="dxa" w:w="1152"/>
            <w:shd w:val="clear" w:color="auto" w:fill="E8F5EA"/>
          </w:tcPr>
          <w:p>
            <w:r>
              <w:rPr>
                <w:sz w:val="16"/>
              </w:rPr>
              <w:t>Stage 3</w:t>
            </w:r>
          </w:p>
        </w:tc>
        <w:tc>
          <w:tcPr>
            <w:tcW w:type="dxa" w:w="4032"/>
            <w:shd w:val="clear" w:color="auto" w:fill="E8F5EA"/>
          </w:tcPr>
          <w:p>
            <w:r>
              <w:rPr>
                <w:sz w:val="16"/>
              </w:rPr>
              <w:t>Application submitted to Immigration</w:t>
            </w:r>
          </w:p>
        </w:tc>
        <w:tc>
          <w:tcPr>
            <w:tcW w:type="dxa" w:w="3888"/>
            <w:shd w:val="clear" w:color="auto" w:fill="E8F5EA"/>
          </w:tcPr>
          <w:p>
            <w:r>
              <w:rPr>
                <w:sz w:val="16"/>
              </w:rPr>
              <w:t>20% of Consultancy Fee refundable</w:t>
            </w:r>
          </w:p>
        </w:tc>
      </w:tr>
      <w:tr>
        <w:tc>
          <w:tcPr>
            <w:tcW w:type="dxa" w:w="1152"/>
            <w:shd w:val="clear" w:color="auto" w:fill="FFFFFF"/>
          </w:tcPr>
          <w:p>
            <w:r>
              <w:rPr>
                <w:b/>
                <w:sz w:val="16"/>
              </w:rPr>
              <w:t>Stage 4</w:t>
            </w:r>
          </w:p>
        </w:tc>
        <w:tc>
          <w:tcPr>
            <w:tcW w:type="dxa" w:w="4032"/>
            <w:shd w:val="clear" w:color="auto" w:fill="FFFFFF"/>
          </w:tcPr>
          <w:p>
            <w:r>
              <w:rPr>
                <w:b/>
                <w:sz w:val="16"/>
              </w:rPr>
              <w:t>Visa decision received</w:t>
            </w:r>
          </w:p>
        </w:tc>
        <w:tc>
          <w:tcPr>
            <w:tcW w:type="dxa" w:w="3888"/>
            <w:shd w:val="clear" w:color="auto" w:fill="FFFFFF"/>
          </w:tcPr>
          <w:p>
            <w:r>
              <w:rPr>
                <w:b/>
                <w:sz w:val="16"/>
              </w:rPr>
              <w:t>Non-refundable</w:t>
            </w:r>
          </w:p>
        </w:tc>
      </w:tr>
    </w:tbl>
    <w:p>
      <w:pPr>
        <w:spacing w:after="40"/>
      </w:pPr>
    </w:p>
    <w:p>
      <w:pPr>
        <w:spacing w:before="0" w:after="40"/>
      </w:pPr>
      <w:r>
        <w:rPr>
          <w:sz w:val="17"/>
        </w:rPr>
        <w:t>7.3  Defect Notification: Client must notify in writing within 30 days of discovery of any service deficiency.</w:t>
      </w:r>
    </w:p>
    <w:p>
      <w:pPr>
        <w:spacing w:before="0" w:after="40"/>
      </w:pPr>
      <w:r>
        <w:rPr>
          <w:sz w:val="17"/>
        </w:rPr>
        <w:t>7.4  Right to Cure: Service Provider has 14 days to remedy deficiency at no charge before a refund obligation arises.</w:t>
      </w:r>
    </w:p>
    <w:p>
      <w:pPr>
        <w:spacing w:before="0" w:after="40"/>
      </w:pPr>
      <w:r>
        <w:rPr>
          <w:sz w:val="17"/>
        </w:rPr>
        <w:t>7.5  Visa Rejection Review: Refund eligibility reviewed case-by-case within 21 days where Client is not at fault.</w:t>
      </w:r>
    </w:p>
    <w:p>
      <w:pPr>
        <w:spacing w:before="0" w:after="40"/>
      </w:pPr>
      <w:r>
        <w:rPr>
          <w:sz w:val="17"/>
        </w:rPr>
        <w:t>7.6  Non-Refundable: Government fees, biometric charges, and air ticket charges once paid to third parties.</w:t>
      </w:r>
    </w:p>
    <w:p>
      <w:pPr>
        <w:spacing w:before="0" w:after="40"/>
      </w:pPr>
      <w:r>
        <w:rPr>
          <w:sz w:val="17"/>
        </w:rPr>
        <w:t>7.7  VAT Adjustment: Any refund accompanied by a Credit Note per Article 62, UAE VAT Executive Regulations.</w:t>
      </w:r>
    </w:p>
    <w:p>
      <w:pPr>
        <w:spacing w:before="140" w:after="40"/>
      </w:pPr>
      <w:r>
        <w:rPr>
          <w:b/>
          <w:color w:val="1A5C2A"/>
          <w:sz w:val="19"/>
        </w:rPr>
        <w:t>8.  Disclaimer, Limitation of Liability &amp; Misrepresentation</w:t>
      </w:r>
    </w:p>
    <w:p>
      <w:pPr>
        <w:spacing w:before="0" w:after="40"/>
      </w:pPr>
      <w:r>
        <w:rPr>
          <w:sz w:val="17"/>
        </w:rPr>
        <w:t>8.1  The Service Provider is a private consultant only. All visa decisions rest with ${Contacts.Destination_Country} Immigration. No outcome is guaranteed.</w:t>
      </w:r>
    </w:p>
    <w:p>
      <w:pPr>
        <w:spacing w:before="0" w:after="40"/>
      </w:pPr>
      <w:r>
        <w:rPr>
          <w:sz w:val="17"/>
        </w:rPr>
        <w:t>8.2  No liability for: Immigration processing times; client documentation errors; policy changes; third-party delays; Force Majeure events (§10).</w:t>
      </w:r>
    </w:p>
    <w:p>
      <w:pPr>
        <w:spacing w:before="0" w:after="40"/>
      </w:pPr>
      <w:r>
        <w:rPr>
          <w:sz w:val="17"/>
        </w:rPr>
        <w:t>8.3  Client Misrepresentation: Provision of false or fraudulent information entitles the Service Provider to immediately terminate, retain fees for work completed, and report to authorities.</w:t>
      </w:r>
    </w:p>
    <w:p>
      <w:pPr>
        <w:spacing w:before="0" w:after="40"/>
      </w:pPr>
      <w:r>
        <w:rPr>
          <w:sz w:val="17"/>
        </w:rPr>
        <w:t>8.4  Liability Cap: Maximum liability is the Consultancy Fee paid (AED ${Contacts.Consultancy_Fee_AED}), excluding disbursements and air ticket.</w:t>
      </w:r>
    </w:p>
    <w:p>
      <w:pPr>
        <w:spacing w:before="140" w:after="40"/>
      </w:pPr>
      <w:r>
        <w:rPr>
          <w:b/>
          <w:color w:val="1A5C2A"/>
          <w:sz w:val="19"/>
        </w:rPr>
        <w:t>9.  Termination</w:t>
      </w:r>
    </w:p>
    <w:p>
      <w:pPr>
        <w:spacing w:before="0" w:after="40"/>
      </w:pPr>
      <w:r>
        <w:rPr>
          <w:sz w:val="17"/>
        </w:rPr>
        <w:t>9.1  Either party may terminate with 7 days written notice. Client pays for all services rendered on the §7.2 pro-rata basis.</w:t>
      </w:r>
    </w:p>
    <w:p>
      <w:pPr>
        <w:spacing w:before="0" w:after="40"/>
      </w:pPr>
      <w:r>
        <w:rPr>
          <w:sz w:val="17"/>
        </w:rPr>
        <w:t>9.2  Immediate termination by Service Provider if: (a) false/fraudulent information; (b) AML/CFT breach; (c) non-payment for more than 21 days; (d) legal/regulatory risk.</w:t>
      </w:r>
    </w:p>
    <w:p>
      <w:pPr>
        <w:spacing w:before="0" w:after="40"/>
      </w:pPr>
      <w:r>
        <w:rPr>
          <w:sz w:val="17"/>
        </w:rPr>
        <w:t>9.3  Original Client documents returned within 14 days of termination. Final Tax Invoice / Credit Note to be issued.</w:t>
      </w:r>
    </w:p>
    <w:p>
      <w:pPr>
        <w:spacing w:before="140" w:after="40"/>
      </w:pPr>
      <w:r>
        <w:rPr>
          <w:b/>
          <w:color w:val="1A5C2A"/>
          <w:sz w:val="19"/>
        </w:rPr>
        <w:t>10.  Force Majeure</w:t>
      </w:r>
    </w:p>
    <w:p>
      <w:pPr>
        <w:spacing w:before="0" w:after="40"/>
      </w:pPr>
      <w:r>
        <w:rPr>
          <w:sz w:val="17"/>
        </w:rPr>
        <w:t>10.1  Neither party liable for delay caused by: acts of God, war, terrorism, pandemic, immigration policy changes, travel restrictions, airline/embassy closures, or third-party system failures.</w:t>
      </w:r>
    </w:p>
    <w:p>
      <w:pPr>
        <w:spacing w:before="0" w:after="40"/>
      </w:pPr>
      <w:r>
        <w:rPr>
          <w:sz w:val="17"/>
        </w:rPr>
        <w:t>10.2  Affected party notifies other within 7 days. Obligations suspended. If event exceeds 60 days, either party may terminate on 14 days notice; §7.2 pro-rata refund applies.</w:t>
      </w:r>
    </w:p>
    <w:p>
      <w:pPr>
        <w:spacing w:before="140" w:after="40"/>
      </w:pPr>
      <w:r>
        <w:rPr>
          <w:b/>
          <w:color w:val="1A5C2A"/>
          <w:sz w:val="19"/>
        </w:rPr>
        <w:t>11.  Anti-Money Laundering &amp; Counter-Terrorism Financing  (AML/CFT — Decree-Law No. 20 of 2018)</w:t>
      </w:r>
    </w:p>
    <w:p>
      <w:pPr>
        <w:spacing w:before="0" w:after="40"/>
      </w:pPr>
      <w:r>
        <w:rPr>
          <w:sz w:val="17"/>
        </w:rPr>
        <w:t>11.1  The Service Provider complies with UAE AML/CFT laws and is registered on UAE FIU goAML platform. CDD conducted on all clients.</w:t>
      </w:r>
    </w:p>
    <w:p>
      <w:pPr>
        <w:spacing w:before="0" w:after="40"/>
      </w:pPr>
      <w:r>
        <w:rPr>
          <w:sz w:val="17"/>
        </w:rPr>
        <w:t>11.2  Source of Funds: By signing, Client declares all payment funds are from legitimate, lawful sources; not subject to sanctions; acting on own behalf.</w:t>
      </w:r>
    </w:p>
    <w:p>
      <w:pPr>
        <w:spacing w:before="0" w:after="40"/>
      </w:pPr>
      <w:r>
        <w:rPr>
          <w:sz w:val="17"/>
        </w:rPr>
        <w:t>11.3  The Service Provider may file a Suspicious Transaction Report (STR) with UAE FIU. Tipping off is prohibited by law.</w:t>
      </w:r>
    </w:p>
    <w:p>
      <w:pPr>
        <w:spacing w:before="0" w:after="40"/>
      </w:pPr>
      <w:r>
        <w:rPr>
          <w:sz w:val="17"/>
        </w:rPr>
        <w:t>11.4  Service Provider may refuse or terminate services immediately if AML/CFT due diligence cannot be completed.</w:t>
      </w:r>
    </w:p>
    <w:p>
      <w:pPr>
        <w:spacing w:before="140" w:after="40"/>
      </w:pPr>
      <w:r>
        <w:rPr>
          <w:b/>
          <w:color w:val="1A5C2A"/>
          <w:sz w:val="19"/>
        </w:rPr>
        <w:t>12.  Governing Law &amp; Dispute Resolution</w:t>
      </w:r>
    </w:p>
    <w:p>
      <w:pPr>
        <w:spacing w:before="0" w:after="40"/>
      </w:pPr>
      <w:r>
        <w:rPr>
          <w:sz w:val="17"/>
        </w:rPr>
        <w:t>12.1  Governed by UAE law: VAT Decree-Law No. 8/2017; Consumer Protection Law No. 15/2020 &amp; Cabinet Decision No. 66/2023; PDPL Decree-Law No. 45/2021; AML/CFT Decree-Law No. 20/2018; Entry &amp; Residence Decree-Law No. 29/2021.</w:t>
      </w:r>
    </w:p>
    <w:p>
      <w:pPr>
        <w:spacing w:before="0" w:after="40"/>
      </w:pPr>
      <w:r>
        <w:rPr>
          <w:sz w:val="17"/>
        </w:rPr>
        <w:t>12.2  Amicable Resolution: Disputes raised in writing; parties resolve within 30 days.</w:t>
      </w:r>
    </w:p>
    <w:p>
      <w:pPr>
        <w:spacing w:before="0" w:after="40"/>
      </w:pPr>
      <w:r>
        <w:rPr>
          <w:sz w:val="17"/>
        </w:rPr>
        <w:t>12.3  Mediation: If unresolved, referred to Sharjah Centre for Commercial Arbitration (SCCA) before litigation.</w:t>
      </w:r>
    </w:p>
    <w:p>
      <w:pPr>
        <w:spacing w:before="0" w:after="40"/>
      </w:pPr>
      <w:r>
        <w:rPr>
          <w:sz w:val="17"/>
        </w:rPr>
        <w:t>12.4  Litigation: Exclusive jurisdiction of the competent courts of Sharjah, UAE.</w:t>
      </w:r>
    </w:p>
    <w:p>
      <w:pPr>
        <w:spacing w:before="140" w:after="40"/>
      </w:pPr>
      <w:r>
        <w:rPr>
          <w:b/>
          <w:color w:val="1A5C2A"/>
          <w:sz w:val="19"/>
        </w:rPr>
        <w:t>13.  Entire Agreement &amp; Severability</w:t>
      </w:r>
    </w:p>
    <w:p>
      <w:pPr>
        <w:spacing w:before="0" w:after="40"/>
      </w:pPr>
      <w:r>
        <w:rPr>
          <w:sz w:val="17"/>
        </w:rPr>
        <w:t>13.1  This Agreement supersedes all prior discussions. Amendments must be in writing and signed by both parties.</w:t>
      </w:r>
    </w:p>
    <w:p>
      <w:pPr>
        <w:spacing w:before="0" w:after="40"/>
      </w:pPr>
      <w:r>
        <w:rPr>
          <w:sz w:val="17"/>
        </w:rPr>
        <w:t>13.2  Invalid or unenforceable provisions do not affect remaining provisions.</w:t>
      </w:r>
    </w:p>
    <w:p>
      <w:pPr>
        <w:spacing w:before="0" w:after="40"/>
      </w:pPr>
      <w:r>
        <w:rPr>
          <w:sz w:val="17"/>
        </w:rPr>
        <w:t>13.3  Any clause conflicting with UAE Consumer Protection Law No. 15/2020 is void to that extent.</w:t>
      </w:r>
    </w:p>
    <w:p>
      <w:pPr>
        <w:spacing w:before="0" w:after="0"/>
        <w:pageBreakBefore/>
      </w:pPr>
    </w:p>
    <w:p>
      <w:pPr>
        <w:pBdr>
          <w:bottom w:val="single" w:sz="8" w:space="1" w:color="1A5C2A"/>
        </w:pBdr>
        <w:spacing w:before="160" w:after="120"/>
      </w:pPr>
    </w:p>
    <w:p>
      <w:pPr>
        <w:spacing w:before="0" w:after="120"/>
      </w:pPr>
      <w:r>
        <w:rPr>
          <w:b/>
          <w:i w:val="0"/>
          <w:color w:val="1A5C2A"/>
          <w:sz w:val="22"/>
        </w:rPr>
        <w:t>SIGNATURES</w:t>
      </w:r>
    </w:p>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4707"/>
        <w:gridCol w:w="4707"/>
      </w:tblGrid>
      <w:tr>
        <w:tc>
          <w:tcPr>
            <w:tcW w:type="dxa" w:w="4464"/>
            <w:shd w:val="clear" w:color="auto" w:fill="E8F5EA"/>
          </w:tcPr>
          <w:p>
            <w:pPr>
              <w:spacing w:before="0" w:after="40"/>
            </w:pPr>
            <w:r>
              <w:rPr>
                <w:b/>
                <w:i w:val="0"/>
                <w:color w:val="1A5C2A"/>
                <w:sz w:val="20"/>
              </w:rPr>
              <w:t>SERVICE PROVIDER</w:t>
            </w:r>
          </w:p>
          <w:p>
            <w:pPr>
              <w:spacing w:before="0" w:after="40"/>
            </w:pPr>
            <w:r>
              <w:rPr>
                <w:b/>
                <w:i w:val="0"/>
                <w:color w:val="0F3A1A"/>
                <w:sz w:val="18"/>
              </w:rPr>
              <w:t>UPALI IMMIGRATION SERVICES</w:t>
            </w:r>
          </w:p>
          <w:p>
            <w:pPr>
              <w:spacing w:before="0" w:after="40"/>
            </w:pPr>
            <w:r>
              <w:rPr>
                <w:b w:val="0"/>
                <w:i w:val="0"/>
                <w:color w:val="555555"/>
                <w:sz w:val="15"/>
              </w:rPr>
              <w:t>Licence No. 2646027.01  |  TRN: 105425790000001</w:t>
            </w:r>
          </w:p>
          <w:p>
            <w:pPr>
              <w:spacing w:before="60" w:after="0"/>
            </w:pPr>
            <w:r>
              <w:drawing>
                <wp:inline xmlns:a="http://schemas.openxmlformats.org/drawingml/2006/main" xmlns:pic="http://schemas.openxmlformats.org/drawingml/2006/picture">
                  <wp:extent cx="1463040" cy="406400"/>
                  <wp:docPr id="1" name="Picture 1"/>
                  <wp:cNvGraphicFramePr>
                    <a:graphicFrameLocks noChangeAspect="1"/>
                  </wp:cNvGraphicFramePr>
                  <a:graphic>
                    <a:graphicData uri="http://schemas.openxmlformats.org/drawingml/2006/picture">
                      <pic:pic>
                        <pic:nvPicPr>
                          <pic:cNvPr id="0" name="signature.png"/>
                          <pic:cNvPicPr/>
                        </pic:nvPicPr>
                        <pic:blipFill>
                          <a:blip r:embed="rId11"/>
                          <a:stretch>
                            <a:fillRect/>
                          </a:stretch>
                        </pic:blipFill>
                        <pic:spPr>
                          <a:xfrm>
                            <a:off x="0" y="0"/>
                            <a:ext cx="1463040" cy="406400"/>
                          </a:xfrm>
                          <a:prstGeom prst="rect"/>
                        </pic:spPr>
                      </pic:pic>
                    </a:graphicData>
                  </a:graphic>
                </wp:inline>
              </w:drawing>
            </w:r>
          </w:p>
          <w:p>
            <w:pPr>
              <w:spacing w:before="40" w:after="60"/>
            </w:pPr>
            <w:r>
              <w:drawing>
                <wp:inline xmlns:a="http://schemas.openxmlformats.org/drawingml/2006/main" xmlns:pic="http://schemas.openxmlformats.org/drawingml/2006/picture">
                  <wp:extent cx="1005840" cy="1007328"/>
                  <wp:docPr id="2" name="Picture 2"/>
                  <wp:cNvGraphicFramePr>
                    <a:graphicFrameLocks noChangeAspect="1"/>
                  </wp:cNvGraphicFramePr>
                  <a:graphic>
                    <a:graphicData uri="http://schemas.openxmlformats.org/drawingml/2006/picture">
                      <pic:pic>
                        <pic:nvPicPr>
                          <pic:cNvPr id="0" name="stamp.jpg"/>
                          <pic:cNvPicPr/>
                        </pic:nvPicPr>
                        <pic:blipFill>
                          <a:blip r:embed="rId12"/>
                          <a:stretch>
                            <a:fillRect/>
                          </a:stretch>
                        </pic:blipFill>
                        <pic:spPr>
                          <a:xfrm>
                            <a:off x="0" y="0"/>
                            <a:ext cx="1005840" cy="1007328"/>
                          </a:xfrm>
                          <a:prstGeom prst="rect"/>
                        </pic:spPr>
                      </pic:pic>
                    </a:graphicData>
                  </a:graphic>
                </wp:inline>
              </w:drawing>
            </w:r>
          </w:p>
          <w:p>
            <w:pPr>
              <w:spacing w:before="0" w:after="40"/>
            </w:pPr>
            <w:r>
              <w:rPr>
                <w:b/>
                <w:i w:val="0"/>
                <w:color w:val="0F3A1A"/>
                <w:sz w:val="17"/>
              </w:rPr>
              <w:t>Upali Dewage</w:t>
            </w:r>
          </w:p>
          <w:p>
            <w:pPr>
              <w:spacing w:before="0" w:after="40"/>
            </w:pPr>
            <w:r>
              <w:rPr>
                <w:b w:val="0"/>
                <w:i w:val="0"/>
                <w:color w:val="555555"/>
                <w:sz w:val="16"/>
              </w:rPr>
              <w:t>Managing Director</w:t>
            </w:r>
          </w:p>
          <w:p>
            <w:pPr>
              <w:spacing w:before="0" w:after="40"/>
            </w:pPr>
            <w:r>
              <w:rPr>
                <w:b w:val="0"/>
                <w:i w:val="0"/>
                <w:color w:val="555555"/>
                <w:sz w:val="16"/>
              </w:rPr>
              <w:t>Date: ${System.Today}</w:t>
            </w:r>
          </w:p>
        </w:tc>
        <w:tc>
          <w:tcPr>
            <w:tcW w:type="dxa" w:w="4608"/>
            <w:shd w:val="clear" w:color="auto" w:fill="F9F9F9"/>
          </w:tcPr>
          <w:p>
            <w:pPr>
              <w:spacing w:before="0" w:after="40"/>
            </w:pPr>
            <w:r>
              <w:rPr>
                <w:b/>
                <w:i w:val="0"/>
                <w:color w:val="1A5C2A"/>
                <w:sz w:val="20"/>
              </w:rPr>
              <w:t>CLIENT</w:t>
            </w:r>
          </w:p>
          <w:p>
            <w:pPr>
              <w:spacing w:before="0" w:after="40"/>
            </w:pPr>
            <w:r>
              <w:rPr>
                <w:b w:val="0"/>
                <w:i w:val="0"/>
                <w:color w:val="1A1A1A"/>
                <w:sz w:val="17"/>
              </w:rPr>
              <w:t>Full Name:   ${Contacts.First_Name} ${Contacts.Last_Name}</w:t>
            </w:r>
          </w:p>
          <w:p>
            <w:pPr>
              <w:spacing w:before="0" w:after="40"/>
            </w:pPr>
            <w:r>
              <w:rPr>
                <w:b w:val="0"/>
                <w:i w:val="0"/>
                <w:color w:val="1A1A1A"/>
                <w:sz w:val="17"/>
              </w:rPr>
              <w:t>Passport:    ${Contacts.Passport_Number}</w:t>
            </w:r>
          </w:p>
          <w:p>
            <w:pPr>
              <w:spacing w:before="0" w:after="40"/>
            </w:pPr>
            <w:r>
              <w:rPr>
                <w:b w:val="0"/>
                <w:i w:val="0"/>
                <w:color w:val="1A1A1A"/>
                <w:sz w:val="17"/>
              </w:rPr>
              <w:t>Nationality: ${Contacts.Nationality}</w:t>
            </w:r>
          </w:p>
          <w:p>
            <w:pPr>
              <w:spacing w:before="0" w:after="40"/>
            </w:pPr>
            <w:r>
              <w:rPr>
                <w:b w:val="0"/>
                <w:i w:val="0"/>
                <w:color w:val="1A1A1A"/>
                <w:sz w:val="10"/>
              </w:rPr>
            </w:r>
          </w:p>
          <w:p>
            <w:pPr>
              <w:spacing w:before="0" w:after="40"/>
            </w:pPr>
            <w:r>
              <w:rPr>
                <w:b w:val="0"/>
                <w:i w:val="0"/>
                <w:color w:val="1A1A1A"/>
                <w:sz w:val="17"/>
              </w:rPr>
              <w:t>Authorised Signature:</w:t>
            </w:r>
          </w:p>
          <w:p>
            <w:pPr>
              <w:spacing w:before="0" w:after="40"/>
            </w:pPr>
            <w:r>
              <w:rPr>
                <w:b w:val="0"/>
                <w:i w:val="0"/>
                <w:color w:val="1A1A1A"/>
                <w:sz w:val="10"/>
              </w:rPr>
            </w:r>
          </w:p>
          <w:p>
            <w:pPr>
              <w:spacing w:before="0" w:after="40"/>
            </w:pPr>
            <w:r>
              <w:rPr>
                <w:b w:val="0"/>
                <w:i w:val="0"/>
                <w:color w:val="1A1A1A"/>
                <w:sz w:val="17"/>
              </w:rPr>
              <w:t>________________________________________</w:t>
            </w:r>
          </w:p>
          <w:p>
            <w:pPr>
              <w:spacing w:before="0" w:after="40"/>
            </w:pPr>
            <w:r>
              <w:rPr>
                <w:b w:val="0"/>
                <w:i w:val="0"/>
                <w:color w:val="1A1A1A"/>
                <w:sz w:val="10"/>
              </w:rPr>
            </w:r>
          </w:p>
          <w:p>
            <w:pPr>
              <w:spacing w:before="0" w:after="40"/>
            </w:pPr>
            <w:r>
              <w:rPr>
                <w:b w:val="0"/>
                <w:i w:val="0"/>
                <w:color w:val="1A1A1A"/>
                <w:sz w:val="17"/>
              </w:rPr>
              <w:t>Date:  _______________________</w:t>
            </w:r>
          </w:p>
          <w:p>
            <w:pPr>
              <w:spacing w:before="0" w:after="40"/>
            </w:pPr>
            <w:r>
              <w:rPr>
                <w:b w:val="0"/>
                <w:i w:val="0"/>
                <w:color w:val="1A1A1A"/>
                <w:sz w:val="10"/>
              </w:rPr>
            </w:r>
          </w:p>
          <w:p>
            <w:pPr>
              <w:spacing w:before="0" w:after="40"/>
            </w:pPr>
            <w:r>
              <w:rPr>
                <w:b w:val="0"/>
                <w:i w:val="0"/>
                <w:color w:val="1A1A1A"/>
                <w:sz w:val="17"/>
              </w:rPr>
              <w:t>Source-of-Funds Declaration:</w:t>
            </w:r>
          </w:p>
          <w:p>
            <w:pPr>
              <w:spacing w:before="0" w:after="40"/>
            </w:pPr>
            <w:r>
              <w:rPr>
                <w:b w:val="0"/>
                <w:i w:val="0"/>
                <w:color w:val="1A1A1A"/>
                <w:sz w:val="17"/>
              </w:rPr>
              <w:t>I confirm all funds paid are from a lawful source.</w:t>
            </w:r>
          </w:p>
          <w:p>
            <w:pPr>
              <w:spacing w:before="0" w:after="40"/>
            </w:pPr>
            <w:r>
              <w:rPr>
                <w:b w:val="0"/>
                <w:i w:val="0"/>
                <w:color w:val="1A1A1A"/>
                <w:sz w:val="10"/>
              </w:rPr>
            </w:r>
          </w:p>
          <w:p>
            <w:pPr>
              <w:spacing w:before="0" w:after="40"/>
            </w:pPr>
            <w:r>
              <w:rPr>
                <w:b w:val="0"/>
                <w:i w:val="0"/>
                <w:color w:val="1A1A1A"/>
                <w:sz w:val="17"/>
              </w:rPr>
              <w:t>Client Initials: _______</w:t>
            </w:r>
          </w:p>
        </w:tc>
      </w:tr>
    </w:tbl>
    <w:p>
      <w:pPr>
        <w:spacing w:after="120"/>
      </w:pPr>
    </w:p>
    <w:p>
      <w:pPr>
        <w:pBdr>
          <w:bottom w:val="single" w:sz="6" w:space="1" w:color="1A5C2A"/>
        </w:pBdr>
        <w:spacing w:before="80" w:after="80"/>
      </w:pPr>
    </w:p>
    <w:p>
      <w:pPr>
        <w:spacing w:before="0" w:after="80"/>
      </w:pPr>
      <w:r>
        <w:rPr>
          <w:b/>
          <w:i w:val="0"/>
          <w:color w:val="1A5C2A"/>
          <w:sz w:val="19"/>
        </w:rPr>
        <w:t>Schedule A — Applicable UAE Legislation</w:t>
      </w:r>
    </w:p>
    <w:tbl>
      <w:tblPr>
        <w:tblStyle w:val="TableGrid"/>
        <w:tblW w:type="auto" w:w="0"/>
        <w:tblLook w:firstColumn="1" w:firstRow="1" w:lastColumn="0" w:lastRow="0" w:noHBand="0" w:noVBand="1" w:val="04A0"/>
      </w:tblPr>
      <w:tblGrid>
        <w:gridCol w:w="4707"/>
        <w:gridCol w:w="4707"/>
      </w:tblGrid>
      <w:tr>
        <w:tc>
          <w:tcPr>
            <w:tcW w:type="dxa" w:w="3456"/>
            <w:shd w:val="clear" w:color="auto" w:fill="1A5C2A"/>
          </w:tcPr>
          <w:p>
            <w:r>
              <w:rPr>
                <w:b/>
                <w:color w:val="FFFFFF"/>
                <w:sz w:val="16"/>
              </w:rPr>
              <w:t>Law / Decree</w:t>
            </w:r>
          </w:p>
        </w:tc>
        <w:tc>
          <w:tcPr>
            <w:tcW w:type="dxa" w:w="5616"/>
            <w:shd w:val="clear" w:color="auto" w:fill="1A5C2A"/>
          </w:tcPr>
          <w:p>
            <w:r>
              <w:rPr>
                <w:b/>
                <w:color w:val="FFFFFF"/>
                <w:sz w:val="16"/>
              </w:rPr>
              <w:t>Subject Matter</w:t>
            </w:r>
          </w:p>
        </w:tc>
      </w:tr>
      <w:tr>
        <w:tc>
          <w:tcPr>
            <w:tcW w:type="dxa" w:w="3456"/>
            <w:shd w:val="clear" w:color="auto" w:fill="E8F5EA"/>
          </w:tcPr>
          <w:p>
            <w:r>
              <w:rPr>
                <w:sz w:val="16"/>
              </w:rPr>
              <w:t>Federal Decree-Law No. 29 of 2021</w:t>
            </w:r>
          </w:p>
        </w:tc>
        <w:tc>
          <w:tcPr>
            <w:tcW w:type="dxa" w:w="5616"/>
            <w:shd w:val="clear" w:color="auto" w:fill="E8F5EA"/>
          </w:tcPr>
          <w:p>
            <w:r>
              <w:rPr>
                <w:sz w:val="16"/>
              </w:rPr>
              <w:t>Entry and Residence of Foreigners</w:t>
            </w:r>
          </w:p>
        </w:tc>
      </w:tr>
      <w:tr>
        <w:tc>
          <w:tcPr>
            <w:tcW w:type="dxa" w:w="3456"/>
            <w:shd w:val="clear" w:color="auto" w:fill="FFFFFF"/>
          </w:tcPr>
          <w:p>
            <w:r>
              <w:rPr>
                <w:sz w:val="16"/>
              </w:rPr>
              <w:t>Cabinet Resolution No. 65 of 2022</w:t>
            </w:r>
          </w:p>
        </w:tc>
        <w:tc>
          <w:tcPr>
            <w:tcW w:type="dxa" w:w="5616"/>
            <w:shd w:val="clear" w:color="auto" w:fill="FFFFFF"/>
          </w:tcPr>
          <w:p>
            <w:r>
              <w:rPr>
                <w:sz w:val="16"/>
              </w:rPr>
              <w:t>Executive Regulations — Entry and Residence</w:t>
            </w:r>
          </w:p>
        </w:tc>
      </w:tr>
      <w:tr>
        <w:tc>
          <w:tcPr>
            <w:tcW w:type="dxa" w:w="3456"/>
            <w:shd w:val="clear" w:color="auto" w:fill="E8F5EA"/>
          </w:tcPr>
          <w:p>
            <w:r>
              <w:rPr>
                <w:sz w:val="16"/>
              </w:rPr>
              <w:t>Federal Decree-Law No. 8 of 2017</w:t>
            </w:r>
          </w:p>
        </w:tc>
        <w:tc>
          <w:tcPr>
            <w:tcW w:type="dxa" w:w="5616"/>
            <w:shd w:val="clear" w:color="auto" w:fill="E8F5EA"/>
          </w:tcPr>
          <w:p>
            <w:r>
              <w:rPr>
                <w:sz w:val="16"/>
              </w:rPr>
              <w:t>Value Added Tax Law</w:t>
            </w:r>
          </w:p>
        </w:tc>
      </w:tr>
      <w:tr>
        <w:tc>
          <w:tcPr>
            <w:tcW w:type="dxa" w:w="3456"/>
            <w:shd w:val="clear" w:color="auto" w:fill="FFFFFF"/>
          </w:tcPr>
          <w:p>
            <w:r>
              <w:rPr>
                <w:sz w:val="16"/>
              </w:rPr>
              <w:t>Federal Law No. 15 of 2020</w:t>
            </w:r>
          </w:p>
        </w:tc>
        <w:tc>
          <w:tcPr>
            <w:tcW w:type="dxa" w:w="5616"/>
            <w:shd w:val="clear" w:color="auto" w:fill="FFFFFF"/>
          </w:tcPr>
          <w:p>
            <w:r>
              <w:rPr>
                <w:sz w:val="16"/>
              </w:rPr>
              <w:t>Consumer Protection</w:t>
            </w:r>
          </w:p>
        </w:tc>
      </w:tr>
      <w:tr>
        <w:tc>
          <w:tcPr>
            <w:tcW w:type="dxa" w:w="3456"/>
            <w:shd w:val="clear" w:color="auto" w:fill="E8F5EA"/>
          </w:tcPr>
          <w:p>
            <w:r>
              <w:rPr>
                <w:sz w:val="16"/>
              </w:rPr>
              <w:t>Cabinet Decision No. 66 of 2023</w:t>
            </w:r>
          </w:p>
        </w:tc>
        <w:tc>
          <w:tcPr>
            <w:tcW w:type="dxa" w:w="5616"/>
            <w:shd w:val="clear" w:color="auto" w:fill="E8F5EA"/>
          </w:tcPr>
          <w:p>
            <w:r>
              <w:rPr>
                <w:sz w:val="16"/>
              </w:rPr>
              <w:t>Executive Regulations — Consumer Protection</w:t>
            </w:r>
          </w:p>
        </w:tc>
      </w:tr>
      <w:tr>
        <w:tc>
          <w:tcPr>
            <w:tcW w:type="dxa" w:w="3456"/>
            <w:shd w:val="clear" w:color="auto" w:fill="FFFFFF"/>
          </w:tcPr>
          <w:p>
            <w:r>
              <w:rPr>
                <w:sz w:val="16"/>
              </w:rPr>
              <w:t>Federal Decree-Law No. 45 of 2021</w:t>
            </w:r>
          </w:p>
        </w:tc>
        <w:tc>
          <w:tcPr>
            <w:tcW w:type="dxa" w:w="5616"/>
            <w:shd w:val="clear" w:color="auto" w:fill="FFFFFF"/>
          </w:tcPr>
          <w:p>
            <w:r>
              <w:rPr>
                <w:sz w:val="16"/>
              </w:rPr>
              <w:t>Protection of Personal Data (PDPL)</w:t>
            </w:r>
          </w:p>
        </w:tc>
      </w:tr>
      <w:tr>
        <w:tc>
          <w:tcPr>
            <w:tcW w:type="dxa" w:w="3456"/>
            <w:shd w:val="clear" w:color="auto" w:fill="E8F5EA"/>
          </w:tcPr>
          <w:p>
            <w:r>
              <w:rPr>
                <w:sz w:val="16"/>
              </w:rPr>
              <w:t>Federal Decree-Law No. 20 of 2018</w:t>
            </w:r>
          </w:p>
        </w:tc>
        <w:tc>
          <w:tcPr>
            <w:tcW w:type="dxa" w:w="5616"/>
            <w:shd w:val="clear" w:color="auto" w:fill="E8F5EA"/>
          </w:tcPr>
          <w:p>
            <w:r>
              <w:rPr>
                <w:sz w:val="16"/>
              </w:rPr>
              <w:t>Anti-Money Laundering &amp; Combating Financing of Terrorism</w:t>
            </w:r>
          </w:p>
        </w:tc>
      </w:tr>
      <w:tr>
        <w:tc>
          <w:tcPr>
            <w:tcW w:type="dxa" w:w="3456"/>
            <w:shd w:val="clear" w:color="auto" w:fill="FFFFFF"/>
          </w:tcPr>
          <w:p>
            <w:r>
              <w:rPr>
                <w:sz w:val="16"/>
              </w:rPr>
              <w:t>Federal Decree-Law No. 50 of 2022</w:t>
            </w:r>
          </w:p>
        </w:tc>
        <w:tc>
          <w:tcPr>
            <w:tcW w:type="dxa" w:w="5616"/>
            <w:shd w:val="clear" w:color="auto" w:fill="FFFFFF"/>
          </w:tcPr>
          <w:p>
            <w:r>
              <w:rPr>
                <w:sz w:val="16"/>
              </w:rPr>
              <w:t>Commercial Transactions Law</w:t>
            </w:r>
          </w:p>
        </w:tc>
      </w:tr>
      <w:tr>
        <w:tc>
          <w:tcPr>
            <w:tcW w:type="dxa" w:w="3456"/>
            <w:shd w:val="clear" w:color="auto" w:fill="E8F5EA"/>
          </w:tcPr>
          <w:p>
            <w:r>
              <w:rPr>
                <w:b/>
                <w:sz w:val="16"/>
              </w:rPr>
              <w:t>Federal Law No. 5 of 1985</w:t>
            </w:r>
          </w:p>
        </w:tc>
        <w:tc>
          <w:tcPr>
            <w:tcW w:type="dxa" w:w="5616"/>
            <w:shd w:val="clear" w:color="auto" w:fill="E8F5EA"/>
          </w:tcPr>
          <w:p>
            <w:r>
              <w:rPr>
                <w:b/>
                <w:sz w:val="16"/>
              </w:rPr>
              <w:t>Civil Transactions Law (Civil Code)</w:t>
            </w:r>
          </w:p>
        </w:tc>
      </w:tr>
    </w:tbl>
    <w:p>
      <w:pPr>
        <w:spacing w:after="40"/>
      </w:pPr>
    </w:p>
    <w:p>
      <w:pPr>
        <w:spacing w:before="80"/>
      </w:pPr>
      <w:r>
        <w:rPr>
          <w:b w:val="0"/>
          <w:i/>
          <w:color w:val="555555"/>
          <w:sz w:val="16"/>
        </w:rPr>
        <w:t>Both parties confirm they have read, understood, and agree to all terms of this Agreement.</w:t>
      </w:r>
    </w:p>
    <w:sectPr w:rsidR="00FC693F" w:rsidRPr="0006063C" w:rsidSect="00034616">
      <w:headerReference w:type="default" r:id="rId9"/>
      <w:footerReference w:type="default" r:id="rId10"/>
      <w:pgSz w:w="11909" w:h="16834"/>
      <w:pgMar w:top="2721" w:right="1247" w:bottom="2154" w:left="1247"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8" w:space="1" w:color="1A5C2A"/>
      </w:pBdr>
      <w:spacing w:before="0" w:after="60"/>
    </w:pPr>
  </w:p>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4680"/>
      <w:gridCol w:w="4680"/>
    </w:tblGrid>
    <w:tr>
      <w:tc>
        <w:tcPr>
          <w:tcW w:type="dxa" w:w="5040"/>
          <w:shd w:val="clear" w:color="auto" w:fill="E8F5EA"/>
        </w:tcPr>
        <w:tbl>
          <w:tblPr>
            <w:tblW w:type="auto" w:w="0"/>
            <w:tblLook w:firstColumn="1" w:firstRow="1" w:lastColumn="0" w:lastRow="0" w:noHBand="0" w:noVBand="1" w:val="04A0"/>
            <w:tblBorders>
              <w:top w:val="none"/>
              <w:left w:val="none"/>
              <w:bottom w:val="none"/>
              <w:right w:val="none"/>
              <w:insideH w:val="none"/>
              <w:insideV w:val="none"/>
            </w:tblBorders>
          </w:tblPr>
          <w:tblGrid>
            <w:gridCol w:w="2520"/>
            <w:gridCol w:w="2520"/>
          </w:tblGrid>
          <w:tr>
            <w:tc>
              <w:tcPr>
                <w:tcW w:type="dxa" w:w="1080"/>
                <w:shd w:val="clear" w:color="auto" w:fill="E8F5EA"/>
              </w:tcPr>
              <w:p>
                <w:pPr>
                  <w:spacing w:before="0" w:after="0"/>
                </w:pPr>
                <w:r>
                  <w:drawing>
                    <wp:inline xmlns:a="http://schemas.openxmlformats.org/drawingml/2006/main" xmlns:pic="http://schemas.openxmlformats.org/drawingml/2006/picture">
                      <wp:extent cx="640080" cy="641027"/>
                      <wp:docPr id="1" name="Picture 1"/>
                      <wp:cNvGraphicFramePr>
                        <a:graphicFrameLocks noChangeAspect="1"/>
                      </wp:cNvGraphicFramePr>
                      <a:graphic>
                        <a:graphicData uri="http://schemas.openxmlformats.org/drawingml/2006/picture">
                          <pic:pic>
                            <pic:nvPicPr>
                              <pic:cNvPr id="0" name="stamp.jpg"/>
                              <pic:cNvPicPr/>
                            </pic:nvPicPr>
                            <pic:blipFill>
                              <a:blip r:embed="rId1"/>
                              <a:stretch>
                                <a:fillRect/>
                              </a:stretch>
                            </pic:blipFill>
                            <pic:spPr>
                              <a:xfrm>
                                <a:off x="0" y="0"/>
                                <a:ext cx="640080" cy="641027"/>
                              </a:xfrm>
                              <a:prstGeom prst="rect"/>
                            </pic:spPr>
                          </pic:pic>
                        </a:graphicData>
                      </a:graphic>
                    </wp:inline>
                  </w:drawing>
                </w:r>
              </w:p>
            </w:tc>
            <w:tc>
              <w:tcPr>
                <w:tcW w:type="dxa" w:w="3960"/>
                <w:shd w:val="clear" w:color="auto" w:fill="E8F5EA"/>
              </w:tcPr>
              <w:p>
                <w:pPr>
                  <w:spacing w:before="40" w:after="0"/>
                  <w:jc w:val="left"/>
                </w:pPr>
                <w:r>
                  <w:rPr>
                    <w:b/>
                    <w:i w:val="0"/>
                    <w:color w:val="1A5C2A"/>
                    <w:sz w:val="15"/>
                  </w:rPr>
                  <w:t>UPALI IMMIGRATION SERVICES</w:t>
                </w:r>
              </w:p>
              <w:p>
                <w:pPr>
                  <w:spacing w:before="0" w:after="0"/>
                  <w:jc w:val="left"/>
                </w:pPr>
                <w:r>
                  <w:rPr>
                    <w:b/>
                    <w:i w:val="0"/>
                    <w:color w:val="0F3A1A"/>
                    <w:sz w:val="14"/>
                  </w:rPr>
                  <w:t>Upali Dewage  |  Managing Director</w:t>
                </w:r>
              </w:p>
              <w:p>
                <w:pPr>
                  <w:spacing w:before="0" w:after="0"/>
                  <w:jc w:val="left"/>
                </w:pPr>
                <w:r>
                  <w:rPr>
                    <w:b w:val="0"/>
                    <w:i w:val="0"/>
                    <w:color w:val="555555"/>
                    <w:sz w:val="13"/>
                  </w:rPr>
                  <w:t>Sharjah Media City Free Zone (Shams), UAE</w:t>
                </w:r>
              </w:p>
              <w:p>
                <w:pPr>
                  <w:spacing w:before="0" w:after="0"/>
                  <w:jc w:val="left"/>
                </w:pPr>
                <w:r>
                  <w:rPr>
                    <w:b w:val="0"/>
                    <w:i w:val="0"/>
                    <w:color w:val="555555"/>
                    <w:sz w:val="13"/>
                  </w:rPr>
                  <w:t>Lic: 2646027.01  •  TRN: 105425790000001</w:t>
                </w:r>
              </w:p>
              <w:p>
                <w:pPr>
                  <w:spacing w:before="0" w:after="0"/>
                  <w:jc w:val="left"/>
                </w:pPr>
                <w:r>
                  <w:rPr>
                    <w:b w:val="0"/>
                    <w:i w:val="0"/>
                    <w:color w:val="555555"/>
                    <w:sz w:val="13"/>
                  </w:rPr>
                  <w:t>info@myupali.lk  •  +971 54 204 0298</w:t>
                </w:r>
              </w:p>
            </w:tc>
          </w:tr>
        </w:tbl>
        <w:p/>
      </w:tc>
      <w:tc>
        <w:tcPr>
          <w:tcW w:type="dxa" w:w="4320"/>
          <w:shd w:val="clear" w:color="auto" w:fill="F9F9F9"/>
        </w:tcPr>
        <w:p>
          <w:pPr>
            <w:spacing w:before="40" w:after="20"/>
            <w:jc w:val="right"/>
          </w:pPr>
          <w:r>
            <w:rPr>
              <w:b/>
              <w:i w:val="0"/>
              <w:color w:val="1A5C2A"/>
              <w:sz w:val="15"/>
            </w:rPr>
            <w:t>CLIENT ACKNOWLEDGEMENT</w:t>
          </w:r>
        </w:p>
        <w:p>
          <w:pPr>
            <w:spacing w:before="0" w:after="0"/>
            <w:jc w:val="right"/>
          </w:pPr>
          <w:r>
            <w:rPr>
              <w:b/>
              <w:i w:val="0"/>
              <w:color w:val="0F3A1A"/>
              <w:sz w:val="13"/>
            </w:rPr>
            <w:t xml:space="preserve">Name: </w:t>
          </w:r>
          <w:r>
            <w:rPr>
              <w:b w:val="0"/>
              <w:i w:val="0"/>
              <w:color w:val="1A1A1A"/>
              <w:sz w:val="13"/>
            </w:rPr>
            <w:t>${Contacts.First_Name} ${Contacts.Last_Name}</w:t>
          </w:r>
        </w:p>
        <w:p>
          <w:pPr>
            <w:spacing w:before="0" w:after="0"/>
            <w:jc w:val="right"/>
          </w:pPr>
          <w:r>
            <w:rPr>
              <w:b/>
              <w:i w:val="0"/>
              <w:color w:val="0F3A1A"/>
              <w:sz w:val="13"/>
            </w:rPr>
            <w:t xml:space="preserve">Passport: </w:t>
          </w:r>
          <w:r>
            <w:rPr>
              <w:b w:val="0"/>
              <w:i w:val="0"/>
              <w:color w:val="1A1A1A"/>
              <w:sz w:val="13"/>
            </w:rPr>
            <w:t>${Contacts.Passport_Number}</w:t>
          </w:r>
        </w:p>
        <w:p>
          <w:pPr>
            <w:spacing w:before="0" w:after="20"/>
            <w:jc w:val="right"/>
          </w:pPr>
          <w:r>
            <w:rPr>
              <w:b/>
              <w:i w:val="0"/>
              <w:color w:val="0F3A1A"/>
              <w:sz w:val="13"/>
            </w:rPr>
            <w:t xml:space="preserve">Nationality: </w:t>
          </w:r>
          <w:r>
            <w:rPr>
              <w:b w:val="0"/>
              <w:i w:val="0"/>
              <w:color w:val="1A1A1A"/>
              <w:sz w:val="13"/>
            </w:rPr>
            <w:t>${Contacts.Nationality}</w:t>
          </w:r>
        </w:p>
        <w:p>
          <w:pPr>
            <w:spacing w:before="20" w:after="0"/>
            <w:jc w:val="right"/>
          </w:pPr>
          <w:r>
            <w:rPr>
              <w:b w:val="0"/>
              <w:i w:val="0"/>
              <w:color w:val="555555"/>
              <w:sz w:val="14"/>
            </w:rPr>
            <w:t>Signature: ___________________</w:t>
          </w:r>
        </w:p>
        <w:p>
          <w:pPr>
            <w:spacing w:before="20" w:after="0"/>
            <w:jc w:val="right"/>
          </w:pPr>
          <w:r>
            <w:rPr>
              <w:b w:val="0"/>
              <w:i w:val="0"/>
              <w:color w:val="1A5C2A"/>
              <w:sz w:val="15"/>
            </w:rPr>
            <w:t xml:space="preserve">Page </w:t>
          </w:r>
          <w:r>
            <w:fldChar w:fldCharType="begin"/>
            <w:instrText>PAGE</w:instrText>
            <w:fldChar w:fldCharType="end"/>
          </w:r>
          <w:r>
            <w:rPr>
              <w:b w:val="0"/>
              <w:i w:val="0"/>
              <w:color w:val="1A5C2A"/>
              <w:sz w:val="15"/>
            </w:rPr>
            <w:t xml:space="preserve"> / </w:t>
          </w:r>
          <w:r>
            <w:fldChar w:fldCharType="begin"/>
            <w:instrText>NUMPAGES</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2340"/>
      <w:gridCol w:w="2340"/>
      <w:gridCol w:w="2340"/>
      <w:gridCol w:w="2340"/>
    </w:tblGrid>
    <w:tr>
      <w:tc>
        <w:tcPr>
          <w:tcW w:type="dxa" w:w="1584"/>
          <w:shd w:val="clear" w:color="auto" w:fill="0F3A1A"/>
        </w:tcPr>
        <w:p>
          <w:pPr>
            <w:spacing w:before="80" w:after="80"/>
            <w:jc w:val="center"/>
          </w:pPr>
          <w:r>
            <w:drawing>
              <wp:inline xmlns:a="http://schemas.openxmlformats.org/drawingml/2006/main" xmlns:pic="http://schemas.openxmlformats.org/drawingml/2006/picture">
                <wp:extent cx="914400" cy="9144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914400" cy="914400"/>
                        </a:xfrm>
                        <a:prstGeom prst="rect"/>
                      </pic:spPr>
                    </pic:pic>
                  </a:graphicData>
                </a:graphic>
              </wp:inline>
            </w:drawing>
          </w:r>
        </w:p>
      </w:tc>
      <w:tc>
        <w:tcPr>
          <w:tcW w:type="dxa" w:w="1368"/>
          <w:shd w:val="clear" w:color="auto" w:fill="0F3A1A"/>
        </w:tcPr>
        <w:p>
          <w:pPr>
            <w:spacing w:before="80" w:after="80"/>
            <w:jc w:val="center"/>
          </w:pPr>
          <w:r>
            <w:drawing>
              <wp:inline xmlns:a="http://schemas.openxmlformats.org/drawingml/2006/main" xmlns:pic="http://schemas.openxmlformats.org/drawingml/2006/picture">
                <wp:extent cx="804672" cy="805862"/>
                <wp:docPr id="2" name="Picture 2"/>
                <wp:cNvGraphicFramePr>
                  <a:graphicFrameLocks noChangeAspect="1"/>
                </wp:cNvGraphicFramePr>
                <a:graphic>
                  <a:graphicData uri="http://schemas.openxmlformats.org/drawingml/2006/picture">
                    <pic:pic>
                      <pic:nvPicPr>
                        <pic:cNvPr id="0" name="stamp.jpg"/>
                        <pic:cNvPicPr/>
                      </pic:nvPicPr>
                      <pic:blipFill>
                        <a:blip r:embed="rId2"/>
                        <a:stretch>
                          <a:fillRect/>
                        </a:stretch>
                      </pic:blipFill>
                      <pic:spPr>
                        <a:xfrm>
                          <a:off x="0" y="0"/>
                          <a:ext cx="804672" cy="805862"/>
                        </a:xfrm>
                        <a:prstGeom prst="rect"/>
                      </pic:spPr>
                    </pic:pic>
                  </a:graphicData>
                </a:graphic>
              </wp:inline>
            </w:drawing>
          </w:r>
        </w:p>
      </w:tc>
      <w:tc>
        <w:tcPr>
          <w:tcW w:type="dxa" w:w="2232"/>
          <w:shd w:val="clear" w:color="auto" w:fill="0F3A1A"/>
        </w:tcPr>
        <w:p>
          <w:pPr>
            <w:spacing w:before="100" w:after="0"/>
            <w:jc w:val="left"/>
          </w:pPr>
          <w:r>
            <w:drawing>
              <wp:inline xmlns:a="http://schemas.openxmlformats.org/drawingml/2006/main" xmlns:pic="http://schemas.openxmlformats.org/drawingml/2006/picture">
                <wp:extent cx="1280160" cy="355600"/>
                <wp:docPr id="3" name="Picture 3"/>
                <wp:cNvGraphicFramePr>
                  <a:graphicFrameLocks noChangeAspect="1"/>
                </wp:cNvGraphicFramePr>
                <a:graphic>
                  <a:graphicData uri="http://schemas.openxmlformats.org/drawingml/2006/picture">
                    <pic:pic>
                      <pic:nvPicPr>
                        <pic:cNvPr id="0" name="signature.png"/>
                        <pic:cNvPicPr/>
                      </pic:nvPicPr>
                      <pic:blipFill>
                        <a:blip r:embed="rId3"/>
                        <a:stretch>
                          <a:fillRect/>
                        </a:stretch>
                      </pic:blipFill>
                      <pic:spPr>
                        <a:xfrm>
                          <a:off x="0" y="0"/>
                          <a:ext cx="1280160" cy="355600"/>
                        </a:xfrm>
                        <a:prstGeom prst="rect"/>
                      </pic:spPr>
                    </pic:pic>
                  </a:graphicData>
                </a:graphic>
              </wp:inline>
            </w:drawing>
          </w:r>
        </w:p>
        <w:p>
          <w:pPr>
            <w:spacing w:before="0" w:after="0"/>
            <w:jc w:val="left"/>
          </w:pPr>
          <w:r>
            <w:rPr>
              <w:b/>
              <w:i w:val="0"/>
              <w:color w:val="FFFFFF"/>
              <w:sz w:val="15"/>
            </w:rPr>
            <w:t>Upali Dewage</w:t>
          </w:r>
        </w:p>
        <w:p>
          <w:pPr>
            <w:spacing w:before="0" w:after="80"/>
            <w:jc w:val="left"/>
          </w:pPr>
          <w:r>
            <w:rPr>
              <w:b w:val="0"/>
              <w:i w:val="0"/>
              <w:color w:val="B8E0C0"/>
              <w:sz w:val="14"/>
            </w:rPr>
            <w:t>Managing Director</w:t>
          </w:r>
        </w:p>
      </w:tc>
      <w:tc>
        <w:tcPr>
          <w:tcW w:type="dxa" w:w="4176"/>
          <w:shd w:val="clear" w:color="auto" w:fill="0F3A1A"/>
        </w:tcPr>
        <w:p>
          <w:pPr>
            <w:spacing w:before="100" w:after="0"/>
            <w:jc w:val="left"/>
          </w:pPr>
        </w:p>
        <w:p>
          <w:pPr>
            <w:spacing w:before="0" w:after="20"/>
            <w:jc w:val="left"/>
          </w:pPr>
          <w:r>
            <w:rPr>
              <w:b/>
              <w:i w:val="0"/>
              <w:color w:val="FFFFFF"/>
              <w:sz w:val="23"/>
            </w:rPr>
            <w:t>UPALI IMMIGRATION SERVICES</w:t>
          </w:r>
        </w:p>
        <w:p>
          <w:pPr>
            <w:spacing w:before="0" w:after="20"/>
            <w:jc w:val="left"/>
          </w:pPr>
          <w:r>
            <w:rPr>
              <w:b w:val="0"/>
              <w:i w:val="0"/>
              <w:color w:val="B8E0C0"/>
              <w:sz w:val="16"/>
            </w:rPr>
            <w:t>Immigration Service Consultancy</w:t>
          </w:r>
        </w:p>
        <w:p>
          <w:pPr>
            <w:spacing w:before="0" w:after="80"/>
            <w:jc w:val="left"/>
          </w:pPr>
          <w:r>
            <w:rPr>
              <w:b w:val="0"/>
              <w:i w:val="0"/>
              <w:color w:val="B8E0C0"/>
              <w:sz w:val="15"/>
            </w:rPr>
            <w:t>Sharjah Media City Free Zone (Shams), UAE</w:t>
          </w:r>
        </w:p>
      </w:tc>
    </w:tr>
  </w:tbl>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9360"/>
    </w:tblGrid>
    <w:tr>
      <w:tc>
        <w:tcPr>
          <w:tcW w:type="dxa" w:w="9360"/>
          <w:shd w:val="clear" w:color="auto" w:fill="D4EDDA"/>
        </w:tcPr>
        <w:p>
          <w:pPr>
            <w:spacing w:before="60" w:after="60"/>
            <w:jc w:val="center"/>
          </w:pPr>
          <w:r>
            <w:rPr>
              <w:b/>
              <w:i w:val="0"/>
              <w:color w:val="1A5C2A"/>
              <w:sz w:val="15"/>
            </w:rPr>
            <w:t>Licence No. 2646027.01</w:t>
          </w:r>
          <w:r>
            <w:rPr>
              <w:b w:val="0"/>
              <w:i w:val="0"/>
              <w:color w:val="C89F2A"/>
              <w:sz w:val="15"/>
            </w:rPr>
            <w:t xml:space="preserve">  •  </w:t>
          </w:r>
          <w:r>
            <w:rPr>
              <w:b/>
              <w:i w:val="0"/>
              <w:color w:val="1A5C2A"/>
              <w:sz w:val="15"/>
            </w:rPr>
            <w:t>TRN: 105425790000001</w:t>
          </w:r>
          <w:r>
            <w:rPr>
              <w:b w:val="0"/>
              <w:i w:val="0"/>
              <w:color w:val="C89F2A"/>
              <w:sz w:val="15"/>
            </w:rPr>
            <w:t xml:space="preserve">  •  </w:t>
          </w:r>
          <w:r>
            <w:rPr>
              <w:b w:val="0"/>
              <w:i w:val="0"/>
              <w:color w:val="1A5C2A"/>
              <w:sz w:val="15"/>
            </w:rPr>
            <w:t>info@myupali.lk</w:t>
          </w:r>
          <w:r>
            <w:rPr>
              <w:b w:val="0"/>
              <w:i w:val="0"/>
              <w:color w:val="C89F2A"/>
              <w:sz w:val="15"/>
            </w:rPr>
            <w:t xml:space="preserve">  •  </w:t>
          </w:r>
          <w:r>
            <w:rPr>
              <w:b w:val="0"/>
              <w:i w:val="0"/>
              <w:color w:val="1A5C2A"/>
              <w:sz w:val="15"/>
            </w:rPr>
            <w:t>+971 54 204 0298</w:t>
          </w:r>
        </w:p>
      </w:tc>
    </w:tr>
  </w:tbl>
  <w:p>
    <w:pPr>
      <w:pBdr>
        <w:bottom w:val="single" w:sz="6" w:space="1" w:color="C89F2A"/>
      </w:pBdr>
      <w:spacing w:before="0"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2.jpg"/></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