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5C2A"/>
          </w:tcPr>
          <w:p>
            <w:pPr>
              <w:jc w:val="center"/>
            </w:pPr>
            <w:r>
              <w:rPr>
                <w:b/>
                <w:color w:val="FFFFFF"/>
                <w:sz w:val="28"/>
              </w:rPr>
              <w:t>CLIENT SERVICE AGREEMENT</w:t>
            </w:r>
          </w:p>
          <w:p>
            <w:pPr>
              <w:jc w:val="center"/>
            </w:pPr>
            <w:r>
              <w:rPr>
                <w:color w:val="B8E0C0"/>
                <w:sz w:val="16"/>
              </w:rPr>
              <w:t>Governed by the Laws of the United Arab Emirates</w:t>
            </w:r>
          </w:p>
          <w:p/>
        </w:tc>
      </w:tr>
    </w:tbl>
    <w:p>
      <w:pPr>
        <w:spacing w:after="6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F0F7F1"/>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F0F7F1"/>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F0F7F1"/>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F0F7F1"/>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F0F7F1"/>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F0F7F1"/>
          </w:tcPr>
          <w:p>
            <w:r>
              <w:rPr>
                <w:sz w:val="16"/>
              </w:rPr>
              <w:t>${Contacts.Destination_Country} ${Contacts.Visa_Type} — End-to-End Immigration Consultancy</w:t>
            </w:r>
          </w:p>
        </w:tc>
      </w:tr>
    </w:tbl>
    <w:p>
      <w:pPr>
        <w:spacing w:after="60"/>
      </w:pPr>
    </w:p>
    <w:tbl>
      <w:tblPr>
        <w:tblW w:type="auto" w:w="0"/>
        <w:tblLook w:firstColumn="1" w:firstRow="1" w:lastColumn="0" w:lastRow="0" w:noHBand="0" w:noVBand="1" w:val="04A0"/>
      </w:tblPr>
      <w:tblGrid>
        <w:gridCol w:w="9415"/>
      </w:tblGrid>
      <w:tr>
        <w:tc>
          <w:tcPr>
            <w:tcW w:type="dxa" w:w="9415"/>
            <w:shd w:val="clear" w:color="auto" w:fill="FFF8E1"/>
            <w:tcBorders>
              <w:top w:val="single" w:sz="8" w:color="C8A000"/>
              <w:left w:val="single" w:sz="8" w:color="C8A000"/>
              <w:bottom w:val="single" w:sz="8" w:color="C8A000"/>
              <w:right w:val="single" w:sz="8" w:color="C8A000"/>
            </w:tcBorders>
          </w:tcPr>
          <w:p>
            <w:r>
              <w:rPr>
                <w:b/>
                <w:color w:val="7D4E00"/>
                <w:sz w:val="17"/>
              </w:rPr>
              <w:t>⚠  REGULATORY NOTICE</w:t>
            </w:r>
          </w:p>
          <w:p>
            <w:r>
              <w:rPr>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No. ${Contacts.Passport_Number}, resident of ${Contacts.Country_of_Residence} ("Client"). The Service Provider is a private firm and is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w:t>
      </w:r>
    </w:p>
    <w:p>
      <w:pPr>
        <w:pStyle w:val="ListBullet"/>
        <w:spacing w:before="0" w:after="20"/>
        <w:ind w:left="432"/>
      </w:pPr>
      <w:r>
        <w:rPr>
          <w:sz w:val="17"/>
        </w:rPr>
        <w:t>Provide zero-rating documents (§5.6) before a zero-rated Tax Invoice is issued.</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made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F0F7F1"/>
          </w:tcPr>
          <w:p>
            <w:r>
              <w:rPr>
                <w:sz w:val="16"/>
              </w:rPr>
              <w:t>1</w:t>
            </w:r>
          </w:p>
        </w:tc>
        <w:tc>
          <w:tcPr>
            <w:tcW w:type="dxa" w:w="4032"/>
            <w:shd w:val="clear" w:color="auto" w:fill="F0F7F1"/>
          </w:tcPr>
          <w:p>
            <w:r>
              <w:rPr>
                <w:sz w:val="16"/>
              </w:rPr>
              <w:t>Consultancy Fee — ${Contacts.Destination_Country} ${Contacts.Visa_Type}</w:t>
            </w:r>
          </w:p>
        </w:tc>
        <w:tc>
          <w:tcPr>
            <w:tcW w:type="dxa" w:w="1440"/>
            <w:shd w:val="clear" w:color="auto" w:fill="F0F7F1"/>
          </w:tcPr>
          <w:p>
            <w:r>
              <w:rPr>
                <w:sz w:val="16"/>
              </w:rPr>
              <w:t>${Contacts.Consultancy_Fee_AED}</w:t>
            </w:r>
          </w:p>
        </w:tc>
        <w:tc>
          <w:tcPr>
            <w:tcW w:type="dxa" w:w="1944"/>
            <w:shd w:val="clear" w:color="auto" w:fill="F0F7F1"/>
          </w:tcPr>
          <w:p>
            <w:r>
              <w:rPr>
                <w:sz w:val="16"/>
              </w:rPr>
              <w:t>0% Zero-Rated (Art. 31)</w:t>
            </w:r>
          </w:p>
        </w:tc>
        <w:tc>
          <w:tcPr>
            <w:tcW w:type="dxa" w:w="1008"/>
            <w:shd w:val="clear" w:color="auto" w:fill="F0F7F1"/>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F0F7F1"/>
          </w:tcPr>
          <w:p>
            <w:r>
              <w:rPr>
                <w:sz w:val="16"/>
              </w:rPr>
              <w:t>3</w:t>
            </w:r>
          </w:p>
        </w:tc>
        <w:tc>
          <w:tcPr>
            <w:tcW w:type="dxa" w:w="4032"/>
            <w:shd w:val="clear" w:color="auto" w:fill="F0F7F1"/>
          </w:tcPr>
          <w:p>
            <w:r>
              <w:rPr>
                <w:sz w:val="16"/>
              </w:rPr>
              <w:t>Biometric / Embassy Appointment Fee</w:t>
              <w:br/>
              <w:t>Govt disbursement — actual receipt matched</w:t>
            </w:r>
          </w:p>
        </w:tc>
        <w:tc>
          <w:tcPr>
            <w:tcW w:type="dxa" w:w="1440"/>
            <w:shd w:val="clear" w:color="auto" w:fill="F0F7F1"/>
          </w:tcPr>
          <w:p>
            <w:r>
              <w:rPr>
                <w:sz w:val="16"/>
              </w:rPr>
              <w:t>${Contacts.Biometric_Fee_AED}</w:t>
            </w:r>
          </w:p>
        </w:tc>
        <w:tc>
          <w:tcPr>
            <w:tcW w:type="dxa" w:w="1944"/>
            <w:shd w:val="clear" w:color="auto" w:fill="F0F7F1"/>
          </w:tcPr>
          <w:p>
            <w:r>
              <w:rPr>
                <w:sz w:val="16"/>
              </w:rPr>
              <w:t>Out of Scope</w:t>
            </w:r>
          </w:p>
        </w:tc>
        <w:tc>
          <w:tcPr>
            <w:tcW w:type="dxa" w:w="1008"/>
            <w:shd w:val="clear" w:color="auto" w:fill="F0F7F1"/>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F0F7F1"/>
          </w:tcPr>
          <w:p>
            <w:r>
              <w:rPr>
                <w:b/>
                <w:sz w:val="16"/>
              </w:rPr>
            </w:r>
          </w:p>
        </w:tc>
        <w:tc>
          <w:tcPr>
            <w:tcW w:type="dxa" w:w="4032"/>
            <w:shd w:val="clear" w:color="auto" w:fill="F0F7F1"/>
          </w:tcPr>
          <w:p>
            <w:r>
              <w:rPr>
                <w:b/>
                <w:sz w:val="16"/>
              </w:rPr>
              <w:t>TOTAL DUE  (Outside-UAE — Zero-Rated)</w:t>
            </w:r>
          </w:p>
        </w:tc>
        <w:tc>
          <w:tcPr>
            <w:tcW w:type="dxa" w:w="1440"/>
            <w:shd w:val="clear" w:color="auto" w:fill="F0F7F1"/>
          </w:tcPr>
          <w:p>
            <w:r>
              <w:rPr>
                <w:b/>
                <w:sz w:val="16"/>
              </w:rPr>
              <w:t>AED ${Contacts.Package_Price_AED}</w:t>
            </w:r>
          </w:p>
        </w:tc>
        <w:tc>
          <w:tcPr>
            <w:tcW w:type="dxa" w:w="1944"/>
            <w:shd w:val="clear" w:color="auto" w:fill="F0F7F1"/>
          </w:tcPr>
          <w:p>
            <w:r>
              <w:rPr>
                <w:b/>
                <w:sz w:val="16"/>
              </w:rPr>
            </w:r>
          </w:p>
        </w:tc>
        <w:tc>
          <w:tcPr>
            <w:tcW w:type="dxa" w:w="1008"/>
            <w:shd w:val="clear" w:color="auto" w:fill="F0F7F1"/>
          </w:tcPr>
          <w:p>
            <w:r>
              <w:rPr>
                <w:b/>
                <w:sz w:val="16"/>
              </w:rPr>
              <w:t>0.00</w:t>
            </w:r>
          </w:p>
        </w:tc>
      </w:tr>
    </w:tbl>
    <w:p>
      <w:pPr>
        <w:spacing w:after="40"/>
      </w:pPr>
    </w:p>
    <w:p>
      <w:pPr>
        <w:spacing w:before="0" w:after="40"/>
      </w:pPr>
      <w:r>
        <w:rPr>
          <w:sz w:val="17"/>
        </w:rPr>
        <w:t>5.2  Consultancy Fee zero-rated under Article 31 UAE VAT Executive Regulations as export of services, subject to §5.3 and §5.6.</w:t>
      </w:r>
    </w:p>
    <w:p>
      <w:pPr>
        <w:spacing w:before="0" w:after="40"/>
      </w:pPr>
      <w:r>
        <w:rPr>
          <w:sz w:val="17"/>
        </w:rPr>
        <w:t>5.3  Zero-rating applies only where: (i) Client resides outside UAE; (ii) no UAE establishment; (iii) Client outside UAE during service; (iv) services not related to UAE real estate. If Client enters UAE during service, 5% VAT applies and a supplementary Tax Invoice will be issued.</w:t>
      </w:r>
    </w:p>
    <w:p>
      <w:pPr>
        <w:spacing w:before="0" w:after="40"/>
      </w:pPr>
      <w:r>
        <w:rPr>
          <w:sz w:val="17"/>
        </w:rPr>
        <w:t>5.4  Government Disbursements (Visa &amp; Biometric fees) are out-of-scope of VAT, recharged at cost without mark-up,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before zero-rated Tax Invoice: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at any time, subject to legal retention obligations.</w:t>
      </w:r>
    </w:p>
    <w:p>
      <w:pPr>
        <w:spacing w:before="0" w:after="40"/>
      </w:pPr>
      <w:r>
        <w:rPr>
          <w:sz w:val="17"/>
        </w:rPr>
        <w:t>6.3  Purpose Limitation: Data used exclusively for: visa application preparation and submission; liaison with ${Contacts.Destination_Country} Immigration, biometric providers, and airlines; FTA/AML compliance; and Tax Invoice issuance. Data not used for marketing or sold.</w:t>
      </w:r>
    </w:p>
    <w:p>
      <w:pPr>
        <w:spacing w:before="0" w:after="40"/>
      </w:pPr>
      <w:r>
        <w:rPr>
          <w:sz w:val="17"/>
        </w:rPr>
        <w:t>6.4  Third-Party Disclosure: Data may be shared with ${Contacts.Destination_Country} Immigration authorities, biometric providers, airlines, UAE FTA, and UAE FIU (if AML obligations require).</w:t>
      </w:r>
    </w:p>
    <w:p>
      <w:pPr>
        <w:spacing w:before="0" w:after="40"/>
      </w:pPr>
      <w:r>
        <w:rPr>
          <w:sz w:val="17"/>
        </w:rPr>
        <w:t>6.5  Cross-Border Transfer: Client consents to Personal Data transfer from UAE to ${Contacts.Destination_Country} and other countries for biometric/airline processing, per Article 22, UAE PDPL.</w:t>
      </w:r>
    </w:p>
    <w:p>
      <w:pPr>
        <w:spacing w:before="0" w:after="40"/>
      </w:pPr>
      <w:r>
        <w:rPr>
          <w:sz w:val="17"/>
        </w:rPr>
        <w:t>6.6  Data Subject Rights: Client has the right to access, correct, erase, and withdraw consent for Personal Data. Requests in writing to the Service Provider. Complaints may be lodged with the UAE Data Office.</w:t>
      </w:r>
    </w:p>
    <w:p>
      <w:pPr>
        <w:spacing w:before="0" w:after="40"/>
      </w:pPr>
      <w:r>
        <w:rPr>
          <w:sz w:val="17"/>
        </w:rPr>
        <w:t>6.7  Retention: Data retained for service duration plus 5 years (UAE VAT Art. 78 &amp; AML obligations), then securely deleted or anonymised.</w:t>
      </w:r>
    </w:p>
    <w:p>
      <w:pPr>
        <w:spacing w:before="0" w:after="40"/>
      </w:pPr>
      <w:r>
        <w:rPr>
          <w:sz w:val="17"/>
        </w:rPr>
        <w:t>6.8  Data Breach Notification: Client notified within 72 hours of the Service Provider becoming aware of any breach affecting Client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F0F7F1"/>
          </w:tcPr>
          <w:p>
            <w:r>
              <w:rPr>
                <w:sz w:val="16"/>
              </w:rPr>
              <w:t>Stage 1</w:t>
            </w:r>
          </w:p>
        </w:tc>
        <w:tc>
          <w:tcPr>
            <w:tcW w:type="dxa" w:w="4032"/>
            <w:shd w:val="clear" w:color="auto" w:fill="F0F7F1"/>
          </w:tcPr>
          <w:p>
            <w:r>
              <w:rPr>
                <w:sz w:val="16"/>
              </w:rPr>
              <w:t>Eligibility assessment completed</w:t>
            </w:r>
          </w:p>
        </w:tc>
        <w:tc>
          <w:tcPr>
            <w:tcW w:type="dxa" w:w="3888"/>
            <w:shd w:val="clear" w:color="auto" w:fill="F0F7F1"/>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F0F7F1"/>
          </w:tcPr>
          <w:p>
            <w:r>
              <w:rPr>
                <w:sz w:val="16"/>
              </w:rPr>
              <w:t>Stage 3</w:t>
            </w:r>
          </w:p>
        </w:tc>
        <w:tc>
          <w:tcPr>
            <w:tcW w:type="dxa" w:w="4032"/>
            <w:shd w:val="clear" w:color="auto" w:fill="F0F7F1"/>
          </w:tcPr>
          <w:p>
            <w:r>
              <w:rPr>
                <w:sz w:val="16"/>
              </w:rPr>
              <w:t>Application submitted to Immigration</w:t>
            </w:r>
          </w:p>
        </w:tc>
        <w:tc>
          <w:tcPr>
            <w:tcW w:type="dxa" w:w="3888"/>
            <w:shd w:val="clear" w:color="auto" w:fill="F0F7F1"/>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Service Provider in writing of any service deficiency within 30 days of discovery (UAE Consumer Protection Law No. 15/2020).</w:t>
      </w:r>
    </w:p>
    <w:p>
      <w:pPr>
        <w:spacing w:before="0" w:after="40"/>
      </w:pPr>
      <w:r>
        <w:rPr>
          <w:sz w:val="17"/>
        </w:rPr>
        <w:t>7.4  Right to Cure: Service Provider has 14 days to remedy any notified deficiency at no charge before a refund obligation arises.</w:t>
      </w:r>
    </w:p>
    <w:p>
      <w:pPr>
        <w:spacing w:before="0" w:after="40"/>
      </w:pPr>
      <w:r>
        <w:rPr>
          <w:sz w:val="17"/>
        </w:rPr>
        <w:t>7.5  Visa Rejection Review: In the event of a rejection through no fault of the Client, refund eligibility reviewed case-by-case within 21 days.</w:t>
      </w:r>
    </w:p>
    <w:p>
      <w:pPr>
        <w:spacing w:before="0" w:after="40"/>
      </w:pPr>
      <w:r>
        <w:rPr>
          <w:sz w:val="17"/>
        </w:rPr>
        <w:t>7.6  Non-Refundable: Government fees, biometric charges, and air ticket charges are non-refundable once paid to third parties.</w:t>
      </w:r>
    </w:p>
    <w:p>
      <w:pPr>
        <w:spacing w:before="0" w:after="40"/>
      </w:pPr>
      <w:r>
        <w:rPr>
          <w:sz w:val="17"/>
        </w:rPr>
        <w:t>7.7  VAT Adjustment: Any refund will be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solely with ${Contacts.Destination_Country} Immigration. No outcome is guaranteed.</w:t>
      </w:r>
    </w:p>
    <w:p>
      <w:pPr>
        <w:spacing w:before="0" w:after="40"/>
      </w:pPr>
      <w:r>
        <w:rPr>
          <w:sz w:val="17"/>
        </w:rPr>
        <w:t>8.2  No liability for: (a) Immigration processing times; (b) incomplete/inaccurate client documentation; (c) changes in ${Contacts.Destination_Country} immigration policy; (d) third-party delays; (e) Force Majeure (§10).</w:t>
      </w:r>
    </w:p>
    <w:p>
      <w:pPr>
        <w:spacing w:before="0" w:after="40"/>
      </w:pPr>
      <w:r>
        <w:rPr>
          <w:sz w:val="17"/>
        </w:rPr>
        <w:t>8.3  Client Misrepresentation: Provision of false, misleading, or fraudulent information entitles the Service Provider to immediately terminate, retain all fees for work completed, and report to relevant authorities. No liability for any consequence of client misrepresentation.</w:t>
      </w:r>
    </w:p>
    <w:p>
      <w:pPr>
        <w:spacing w:before="0" w:after="40"/>
      </w:pPr>
      <w:r>
        <w:rPr>
          <w:sz w:val="17"/>
        </w:rPr>
        <w:t>8.4  Liability Cap: Maximum liability is the Consultancy Fee actually paid (AED ${Contacts.Consultancy_Fee_AED}), excluding disbursements and air ticket. Fraud or wilful misconduct by the Service Provider is not capped.</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Client provides false/fraudulent information; (b) AML/CFT breach (§11); (c) non-payment for more than 21 days; (d) continuing service creates legal/regulatory risk.</w:t>
      </w:r>
    </w:p>
    <w:p>
      <w:pPr>
        <w:spacing w:before="0" w:after="40"/>
      </w:pPr>
      <w:r>
        <w:rPr>
          <w:sz w:val="17"/>
        </w:rPr>
        <w:t>9.3  Original Client documents returned within 14 days of termination. A final Tax Invoice / Credit Note will be issued to reconcile.</w:t>
      </w:r>
    </w:p>
    <w:p>
      <w:pPr>
        <w:spacing w:before="140" w:after="40"/>
      </w:pPr>
      <w:r>
        <w:rPr>
          <w:b/>
          <w:color w:val="1A5C2A"/>
          <w:sz w:val="19"/>
        </w:rPr>
        <w:t>10.  Force Majeure</w:t>
      </w:r>
    </w:p>
    <w:p>
      <w:pPr>
        <w:spacing w:before="0" w:after="40"/>
      </w:pPr>
      <w:r>
        <w:rPr>
          <w:sz w:val="17"/>
        </w:rPr>
        <w:t>10.1  Neither party liable for delay or failure caused by circumstances beyond reasonable control, including: acts of God, war, civil unrest, terrorism, pandemic, changes in UAE or ${Contacts.Destination_Country} immigration law, government travel restrictions, airline disruptions, embassy closures, or third-party immigration system failures.</w:t>
      </w:r>
    </w:p>
    <w:p>
      <w:pPr>
        <w:spacing w:before="0" w:after="40"/>
      </w:pPr>
      <w:r>
        <w:rPr>
          <w:sz w:val="17"/>
        </w:rPr>
        <w:t>10.2  Affected party notifies the other within 7 days. Obligations suspended for the duration. If the event continues beyond 60 days, either party may terminate on 14 days notice; §7.2 pro-rata refund applies.</w:t>
      </w:r>
    </w:p>
    <w:p>
      <w:pPr>
        <w:spacing w:before="140" w:after="40"/>
      </w:pPr>
      <w:r>
        <w:rPr>
          <w:b/>
          <w:color w:val="1A5C2A"/>
          <w:sz w:val="19"/>
        </w:rPr>
        <w:t>11.  Anti-Money Laundering &amp; Counter-Terrorism Financing  (AML/CFT — Federal Decree-Law No. 20 of 2018)</w:t>
      </w:r>
    </w:p>
    <w:p>
      <w:pPr>
        <w:spacing w:before="0" w:after="40"/>
      </w:pPr>
      <w:r>
        <w:rPr>
          <w:sz w:val="17"/>
        </w:rPr>
        <w:t>11.1  The Service Provider complies with UAE AML/CFT laws and is registered on the UAE FIU goAML platform. Customer Due Diligence (CDD) is conducted on all clients.</w:t>
      </w:r>
    </w:p>
    <w:p>
      <w:pPr>
        <w:spacing w:before="0" w:after="40"/>
      </w:pPr>
      <w:r>
        <w:rPr>
          <w:sz w:val="17"/>
        </w:rPr>
        <w:t>11.2  Source of Funds Declaration: By signing, the Client declares: (a) all payment funds are from legitimate, lawful sources; (b) Client is not subject to UAE or international sanctions; (c) Client acts on their own behalf.</w:t>
      </w:r>
    </w:p>
    <w:p>
      <w:pPr>
        <w:spacing w:before="0" w:after="40"/>
      </w:pPr>
      <w:r>
        <w:rPr>
          <w:sz w:val="17"/>
        </w:rPr>
        <w:t>11.3  The Service Provider is legally obligated to file a Suspicious Transaction Report (STR) with the UAE FIU if AML/CFT concerns arise. Disclosure of an STR ("tipping off") is prohibited by law.</w:t>
      </w:r>
    </w:p>
    <w:p>
      <w:pPr>
        <w:spacing w:before="0" w:after="40"/>
      </w:pPr>
      <w:r>
        <w:rPr>
          <w:sz w:val="17"/>
        </w:rPr>
        <w:t>11.4  The Service Provider may refuse or immediately terminate services if AML/CFT due diligence cannot be completed, without liability.</w:t>
      </w:r>
    </w:p>
    <w:p>
      <w:pPr>
        <w:spacing w:before="140" w:after="40"/>
      </w:pPr>
      <w:r>
        <w:rPr>
          <w:b/>
          <w:color w:val="1A5C2A"/>
          <w:sz w:val="19"/>
        </w:rPr>
        <w:t>12.  Governing Law &amp; Dispute Resolution</w:t>
      </w:r>
    </w:p>
    <w:p>
      <w:pPr>
        <w:spacing w:before="0" w:after="40"/>
      </w:pPr>
      <w:r>
        <w:rPr>
          <w:sz w:val="17"/>
        </w:rPr>
        <w:t>12.1  Governed by UAE law including: VAT Decree-Law No. 8/2017; Consumer Protection Law No. 15/2020 &amp; Cabinet Decision No. 66/2023; PDPL Decree-Law No. 45/2021; AML/CFT Decree-Law No. 20/2018; and Entry &amp; Residence Decree-Law No. 29/2021.</w:t>
      </w:r>
    </w:p>
    <w:p>
      <w:pPr>
        <w:spacing w:before="0" w:after="40"/>
      </w:pPr>
      <w:r>
        <w:rPr>
          <w:sz w:val="17"/>
        </w:rPr>
        <w:t>12.2  Amicable Resolution: Disputes raised in writing; parties use best efforts to resolve within 30 days.</w:t>
      </w:r>
    </w:p>
    <w:p>
      <w:pPr>
        <w:spacing w:before="0" w:after="40"/>
      </w:pPr>
      <w:r>
        <w:rPr>
          <w:sz w:val="17"/>
        </w:rPr>
        <w:t>12.3  Mediation: If unresolved, disputes referred to Sharjah Centre for Commercial Arbitration (SCCA) for mediation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is the entire understanding between the parties, superseding all prior discussions. Amendments must be in writing and signed by both parties.</w:t>
      </w:r>
    </w:p>
    <w:p>
      <w:pPr>
        <w:spacing w:before="0" w:after="40"/>
      </w:pPr>
      <w:r>
        <w:rPr>
          <w:sz w:val="17"/>
        </w:rPr>
        <w:t>13.2  If any provision is found invalid or unenforceable, the remaining provisions continue in full force.</w:t>
      </w:r>
    </w:p>
    <w:p>
      <w:pPr>
        <w:spacing w:before="0" w:after="40"/>
      </w:pPr>
      <w:r>
        <w:rPr>
          <w:sz w:val="17"/>
        </w:rPr>
        <w:t>13.3  Any provision purporting to exempt the Service Provider from UAE Consumer Protection Law No. 15/2020 obligations is void to the extent of such conflict.</w:t>
      </w:r>
    </w:p>
    <w:p>
      <w:pPr>
        <w:spacing w:after="40"/>
      </w:pPr>
    </w:p>
    <w:p>
      <w:pPr>
        <w:pBdr>
          <w:bottom w:val="single" w:sz="8" w:color="1A5C2A" w:space="1"/>
        </w:pBdr>
        <w:spacing w:before="12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707"/>
        <w:gridCol w:w="4707"/>
      </w:tblGrid>
      <w:tr>
        <w:tc>
          <w:tcPr>
            <w:tcW w:type="dxa" w:w="4464"/>
            <w:shd w:val="clear" w:color="auto" w:fill="F0F7F1"/>
          </w:tcPr>
          <w:p>
            <w:pPr>
              <w:spacing w:before="0" w:after="40"/>
            </w:pPr>
            <w:r>
              <w:rPr>
                <w:b/>
                <w:color w:val="1A5C2A"/>
                <w:sz w:val="19"/>
              </w:rPr>
              <w:t>SERVICE PROVIDER</w:t>
            </w:r>
          </w:p>
          <w:p>
            <w:pPr>
              <w:spacing w:before="0" w:after="40"/>
            </w:pPr>
            <w:r>
              <w:rPr>
                <w:b/>
                <w:color w:val="0F3A1A"/>
                <w:sz w:val="17"/>
              </w:rPr>
              <w:t>UPALI IMMIGRATION SERVICES</w:t>
            </w:r>
          </w:p>
          <w:p>
            <w:pPr>
              <w:spacing w:before="0" w:after="40"/>
            </w:pPr>
            <w:r>
              <w:rPr>
                <w:b w:val="0"/>
                <w:color w:val="555555"/>
                <w:sz w:val="15"/>
              </w:rPr>
              <w:t>Licence No. 2646027.01  |  TRN: 105425790000001</w:t>
            </w:r>
          </w:p>
          <w:p>
            <w:pPr>
              <w:spacing w:before="4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0" w:after="4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color w:val="1A1A1A"/>
                <w:sz w:val="17"/>
              </w:rPr>
              <w:t>Upali Dewage</w:t>
            </w:r>
          </w:p>
          <w:p>
            <w:pPr>
              <w:spacing w:before="0" w:after="40"/>
            </w:pPr>
            <w:r>
              <w:rPr>
                <w:b w:val="0"/>
                <w:color w:val="555555"/>
                <w:sz w:val="16"/>
              </w:rPr>
              <w:t>Managing Director</w:t>
            </w:r>
          </w:p>
          <w:p>
            <w:pPr>
              <w:spacing w:before="0" w:after="40"/>
            </w:pPr>
            <w:r>
              <w:rPr>
                <w:b w:val="0"/>
                <w:color w:val="555555"/>
                <w:sz w:val="16"/>
              </w:rPr>
              <w:t>Date: ${System.Today}</w:t>
            </w:r>
          </w:p>
        </w:tc>
        <w:tc>
          <w:tcPr>
            <w:tcW w:type="dxa" w:w="4608"/>
            <w:shd w:val="clear" w:color="auto" w:fill="F9F9F9"/>
          </w:tcPr>
          <w:p>
            <w:pPr>
              <w:spacing w:before="0" w:after="40"/>
            </w:pPr>
            <w:r>
              <w:rPr>
                <w:b/>
                <w:color w:val="1A5C2A"/>
                <w:sz w:val="19"/>
              </w:rPr>
              <w:t>CLIENT</w:t>
            </w:r>
          </w:p>
          <w:p>
            <w:pPr>
              <w:spacing w:before="0" w:after="40"/>
            </w:pPr>
            <w:r>
              <w:rPr>
                <w:b w:val="0"/>
                <w:color w:val="1A1A1A"/>
                <w:sz w:val="17"/>
              </w:rPr>
              <w:t>Full Name:   ${Contacts.First_Name} ${Contacts.Last_Name}</w:t>
            </w:r>
          </w:p>
          <w:p>
            <w:pPr>
              <w:spacing w:before="0" w:after="40"/>
            </w:pPr>
            <w:r>
              <w:rPr>
                <w:b w:val="0"/>
                <w:color w:val="1A1A1A"/>
                <w:sz w:val="17"/>
              </w:rPr>
              <w:t>Passport:    ${Contacts.Passport_Number}</w:t>
            </w:r>
          </w:p>
          <w:p>
            <w:pPr>
              <w:spacing w:before="0" w:after="40"/>
            </w:pPr>
            <w:r>
              <w:rPr>
                <w:b w:val="0"/>
                <w:color w:val="1A1A1A"/>
                <w:sz w:val="17"/>
              </w:rPr>
              <w:t>Nationality: ${Contacts.Nationality}</w:t>
            </w:r>
          </w:p>
          <w:p>
            <w:pPr>
              <w:spacing w:before="0" w:after="40"/>
            </w:pPr>
            <w:r>
              <w:rPr>
                <w:b w:val="0"/>
                <w:color w:val="1A1A1A"/>
                <w:sz w:val="10"/>
              </w:rPr>
            </w:r>
          </w:p>
          <w:p>
            <w:pPr>
              <w:spacing w:before="0" w:after="40"/>
            </w:pPr>
            <w:r>
              <w:rPr>
                <w:b w:val="0"/>
                <w:color w:val="1A1A1A"/>
                <w:sz w:val="17"/>
              </w:rPr>
              <w:t>Authorised Signature:</w:t>
            </w:r>
          </w:p>
          <w:p>
            <w:pPr>
              <w:spacing w:before="0" w:after="40"/>
            </w:pPr>
            <w:r>
              <w:rPr>
                <w:b w:val="0"/>
                <w:color w:val="1A1A1A"/>
                <w:sz w:val="10"/>
              </w:rPr>
            </w:r>
          </w:p>
          <w:p>
            <w:pPr>
              <w:spacing w:before="0" w:after="40"/>
            </w:pPr>
            <w:r>
              <w:rPr>
                <w:b w:val="0"/>
                <w:color w:val="1A1A1A"/>
                <w:sz w:val="17"/>
              </w:rPr>
              <w:t>________________________________________</w:t>
            </w:r>
          </w:p>
          <w:p>
            <w:pPr>
              <w:spacing w:before="0" w:after="40"/>
            </w:pPr>
            <w:r>
              <w:rPr>
                <w:b w:val="0"/>
                <w:color w:val="1A1A1A"/>
                <w:sz w:val="10"/>
              </w:rPr>
            </w:r>
          </w:p>
          <w:p>
            <w:pPr>
              <w:spacing w:before="0" w:after="40"/>
            </w:pPr>
            <w:r>
              <w:rPr>
                <w:b w:val="0"/>
                <w:color w:val="1A1A1A"/>
                <w:sz w:val="17"/>
              </w:rPr>
              <w:t>Date:  _______________________</w:t>
            </w:r>
          </w:p>
          <w:p>
            <w:pPr>
              <w:spacing w:before="0" w:after="40"/>
            </w:pPr>
            <w:r>
              <w:rPr>
                <w:b w:val="0"/>
                <w:color w:val="1A1A1A"/>
                <w:sz w:val="10"/>
              </w:rPr>
            </w:r>
          </w:p>
          <w:p>
            <w:pPr>
              <w:spacing w:before="0" w:after="40"/>
            </w:pPr>
            <w:r>
              <w:rPr>
                <w:b w:val="0"/>
                <w:color w:val="1A1A1A"/>
                <w:sz w:val="17"/>
              </w:rPr>
              <w:t>Source-of-Funds Declaration:</w:t>
            </w:r>
          </w:p>
          <w:p>
            <w:pPr>
              <w:spacing w:before="0" w:after="40"/>
            </w:pPr>
            <w:r>
              <w:rPr>
                <w:b w:val="0"/>
                <w:color w:val="1A1A1A"/>
                <w:sz w:val="17"/>
              </w:rPr>
              <w:t>I confirm all funds paid are from a lawful source.</w:t>
            </w:r>
          </w:p>
          <w:p>
            <w:pPr>
              <w:spacing w:before="0" w:after="40"/>
            </w:pPr>
            <w:r>
              <w:rPr>
                <w:b w:val="0"/>
                <w:color w:val="1A1A1A"/>
                <w:sz w:val="10"/>
              </w:rPr>
            </w:r>
          </w:p>
          <w:p>
            <w:pPr>
              <w:spacing w:before="0" w:after="40"/>
            </w:pPr>
            <w:r>
              <w:rPr>
                <w:b w:val="0"/>
                <w:color w:val="1A1A1A"/>
                <w:sz w:val="17"/>
              </w:rPr>
              <w:t>Client Initials: _______</w:t>
            </w:r>
          </w:p>
        </w:tc>
      </w:tr>
    </w:tbl>
    <w:p>
      <w:pPr>
        <w:spacing w:after="80"/>
      </w:pPr>
    </w:p>
    <w:p>
      <w:pPr>
        <w:spacing w:before="140" w:after="40"/>
      </w:pPr>
      <w:r>
        <w:rPr>
          <w:b/>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F0F7F1"/>
          </w:tcPr>
          <w:p>
            <w:r>
              <w:rPr>
                <w:sz w:val="16"/>
              </w:rPr>
              <w:t>Federal Decree-Law No. 29 of 2021</w:t>
            </w:r>
          </w:p>
        </w:tc>
        <w:tc>
          <w:tcPr>
            <w:tcW w:type="dxa" w:w="5616"/>
            <w:shd w:val="clear" w:color="auto" w:fill="F0F7F1"/>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F0F7F1"/>
          </w:tcPr>
          <w:p>
            <w:r>
              <w:rPr>
                <w:sz w:val="16"/>
              </w:rPr>
              <w:t>Federal Decree-Law No. 8 of 2017</w:t>
            </w:r>
          </w:p>
        </w:tc>
        <w:tc>
          <w:tcPr>
            <w:tcW w:type="dxa" w:w="5616"/>
            <w:shd w:val="clear" w:color="auto" w:fill="F0F7F1"/>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F0F7F1"/>
          </w:tcPr>
          <w:p>
            <w:r>
              <w:rPr>
                <w:sz w:val="16"/>
              </w:rPr>
              <w:t>Cabinet Decision No. 66 of 2023</w:t>
            </w:r>
          </w:p>
        </w:tc>
        <w:tc>
          <w:tcPr>
            <w:tcW w:type="dxa" w:w="5616"/>
            <w:shd w:val="clear" w:color="auto" w:fill="F0F7F1"/>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F0F7F1"/>
          </w:tcPr>
          <w:p>
            <w:r>
              <w:rPr>
                <w:sz w:val="16"/>
              </w:rPr>
              <w:t>Federal Decree-Law No. 20 of 2018</w:t>
            </w:r>
          </w:p>
        </w:tc>
        <w:tc>
          <w:tcPr>
            <w:tcW w:type="dxa" w:w="5616"/>
            <w:shd w:val="clear" w:color="auto" w:fill="F0F7F1"/>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F0F7F1"/>
          </w:tcPr>
          <w:p>
            <w:r>
              <w:rPr>
                <w:b/>
                <w:sz w:val="16"/>
              </w:rPr>
              <w:t>Federal Law No. 5 of 1985</w:t>
            </w:r>
          </w:p>
        </w:tc>
        <w:tc>
          <w:tcPr>
            <w:tcW w:type="dxa" w:w="5616"/>
            <w:shd w:val="clear" w:color="auto" w:fill="F0F7F1"/>
          </w:tcPr>
          <w:p>
            <w:r>
              <w:rPr>
                <w:b/>
                <w:sz w:val="16"/>
              </w:rPr>
              <w:t>Civil Transactions Law (Civil Code)</w:t>
            </w:r>
          </w:p>
        </w:tc>
      </w:tr>
    </w:tbl>
    <w:p>
      <w:pPr>
        <w:spacing w:after="40"/>
      </w:pPr>
    </w:p>
    <w:p>
      <w:pPr>
        <w:spacing w:before="80"/>
      </w:pPr>
      <w:r>
        <w:rPr>
          <w:color w:val="555555"/>
          <w:sz w:val="16"/>
        </w:rPr>
        <w:t>Both parties confirm they have read, understood, and agree to all terms of this Agreement.</w:t>
      </w:r>
    </w:p>
    <w:sectPr w:rsidR="00FC693F" w:rsidRPr="0006063C" w:rsidSect="00034616">
      <w:headerReference w:type="default" r:id="rId9"/>
      <w:footerReference w:type="default" r:id="rId10"/>
      <w:pgSz w:w="11909" w:h="16834"/>
      <w:pgMar w:top="2154" w:right="1247" w:bottom="2551"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16" w:space="1" w:color="1A5C2A"/>
      </w:pBdr>
      <w:spacing w:before="0" w:after="8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2257"/>
      <w:gridCol w:w="2257"/>
      <w:gridCol w:w="2257"/>
      <w:gridCol w:w="2257"/>
    </w:tblGrid>
    <w:tr>
      <w:tc>
        <w:tcPr>
          <w:tcW w:type="dxa" w:w="2160"/>
        </w:tcPr>
        <w:p>
          <w:pPr>
            <w:spacing w:before="0" w:after="40"/>
            <w:jc w:val="left"/>
          </w:pPr>
          <w:r>
            <w:drawing>
              <wp:inline xmlns:a="http://schemas.openxmlformats.org/drawingml/2006/main" xmlns:pic="http://schemas.openxmlformats.org/drawingml/2006/picture">
                <wp:extent cx="1234440" cy="342900"/>
                <wp:docPr id="1" name="Picture 1"/>
                <wp:cNvGraphicFramePr>
                  <a:graphicFrameLocks noChangeAspect="1"/>
                </wp:cNvGraphicFramePr>
                <a:graphic>
                  <a:graphicData uri="http://schemas.openxmlformats.org/drawingml/2006/picture">
                    <pic:pic>
                      <pic:nvPicPr>
                        <pic:cNvPr id="0" name="signature.png"/>
                        <pic:cNvPicPr/>
                      </pic:nvPicPr>
                      <pic:blipFill>
                        <a:blip r:embed="rId1"/>
                        <a:stretch>
                          <a:fillRect/>
                        </a:stretch>
                      </pic:blipFill>
                      <pic:spPr>
                        <a:xfrm>
                          <a:off x="0" y="0"/>
                          <a:ext cx="1234440" cy="342900"/>
                        </a:xfrm>
                        <a:prstGeom prst="rect"/>
                      </pic:spPr>
                    </pic:pic>
                  </a:graphicData>
                </a:graphic>
              </wp:inline>
            </w:drawing>
          </w:r>
        </w:p>
        <w:p>
          <w:r>
            <w:rPr>
              <w:b/>
              <w:color w:val="555555"/>
              <w:sz w:val="13"/>
            </w:rPr>
            <w:t>Upali Dewage  |  Managing Director</w:t>
          </w:r>
        </w:p>
      </w:tc>
      <w:tc>
        <w:tcPr>
          <w:tcW w:type="dxa" w:w="1728"/>
        </w:tcPr>
        <w:p>
          <w:pPr>
            <w:spacing w:before="0" w:after="0"/>
            <w:jc w:val="center"/>
          </w:pPr>
          <w:r>
            <w:drawing>
              <wp:inline xmlns:a="http://schemas.openxmlformats.org/drawingml/2006/main" xmlns:pic="http://schemas.openxmlformats.org/drawingml/2006/picture">
                <wp:extent cx="960120" cy="961540"/>
                <wp:docPr id="2" name="Picture 2"/>
                <wp:cNvGraphicFramePr>
                  <a:graphicFrameLocks noChangeAspect="1"/>
                </wp:cNvGraphicFramePr>
                <a:graphic>
                  <a:graphicData uri="http://schemas.openxmlformats.org/drawingml/2006/picture">
                    <pic:pic>
                      <pic:nvPicPr>
                        <pic:cNvPr id="0" name="stamp.jpg"/>
                        <pic:cNvPicPr/>
                      </pic:nvPicPr>
                      <pic:blipFill>
                        <a:blip r:embed="rId2"/>
                        <a:stretch>
                          <a:fillRect/>
                        </a:stretch>
                      </pic:blipFill>
                      <pic:spPr>
                        <a:xfrm>
                          <a:off x="0" y="0"/>
                          <a:ext cx="960120" cy="961540"/>
                        </a:xfrm>
                        <a:prstGeom prst="rect"/>
                      </pic:spPr>
                    </pic:pic>
                  </a:graphicData>
                </a:graphic>
              </wp:inline>
            </w:drawing>
          </w:r>
        </w:p>
      </w:tc>
      <w:tc>
        <w:tcPr>
          <w:tcW w:type="dxa" w:w="4320"/>
        </w:tcPr>
        <w:p>
          <w:pPr>
            <w:spacing w:before="0" w:after="20"/>
            <w:jc w:val="center"/>
          </w:pPr>
          <w:r>
            <w:rPr>
              <w:b/>
              <w:color w:val="1A5C2A"/>
              <w:sz w:val="16"/>
            </w:rPr>
            <w:t>UPALI IMMIGRATION SERVICES</w:t>
          </w:r>
        </w:p>
        <w:p>
          <w:pPr>
            <w:spacing w:before="0" w:after="20"/>
            <w:jc w:val="center"/>
          </w:pPr>
          <w:r>
            <w:rPr>
              <w:b w:val="0"/>
              <w:color w:val="555555"/>
              <w:sz w:val="15"/>
            </w:rPr>
            <w:t>Sharjah Media City Free Zone (Shams), UAE</w:t>
          </w:r>
        </w:p>
        <w:p>
          <w:pPr>
            <w:spacing w:before="0" w:after="20"/>
            <w:jc w:val="center"/>
          </w:pPr>
          <w:r>
            <w:rPr>
              <w:b w:val="0"/>
              <w:color w:val="555555"/>
              <w:sz w:val="15"/>
            </w:rPr>
            <w:t>Licence No. 2646027.01  |  TRN: 105425790000001</w:t>
          </w:r>
        </w:p>
        <w:p>
          <w:pPr>
            <w:spacing w:before="0" w:after="20"/>
            <w:jc w:val="center"/>
          </w:pPr>
          <w:r>
            <w:rPr>
              <w:b w:val="0"/>
              <w:color w:val="555555"/>
              <w:sz w:val="15"/>
            </w:rPr>
            <w:t>info@myupali.lk  |  +971 54 204 0298</w:t>
          </w:r>
        </w:p>
      </w:tc>
      <w:tc>
        <w:tcPr>
          <w:tcW w:type="dxa" w:w="806"/>
        </w:tcPr>
        <w:p>
          <w:pPr>
            <w:spacing w:before="200"/>
            <w:jc w:val="right"/>
          </w:pPr>
          <w:r>
            <w:rPr>
              <w:color w:val="555555"/>
              <w:sz w:val="15"/>
            </w:rPr>
            <w:t xml:space="preserve">Page </w:t>
          </w:r>
          <w:r>
            <w:fldChar w:fldCharType="begin"/>
            <w:instrText>PAGE</w:instrText>
            <w:fldChar w:fldCharType="end"/>
          </w:r>
          <w:r>
            <w:rPr>
              <w:color w:val="555555"/>
              <w:sz w:val="15"/>
            </w:rPr>
            <w:t xml:space="preserve"> of </w:t>
          </w:r>
          <w:r>
            <w:fldChar w:fldCharType="begin"/>
            <w:instrText>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304"/>
        </w:tcPr>
        <w:p>
          <w:pPr>
            <w:spacing w:before="0" w:after="0"/>
            <w:jc w:val="left"/>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1325880"/>
                        </a:xfrm>
                        <a:prstGeom prst="rect"/>
                      </pic:spPr>
                    </pic:pic>
                  </a:graphicData>
                </a:graphic>
              </wp:inline>
            </w:drawing>
          </w:r>
        </w:p>
      </w:tc>
      <w:tc>
        <w:tcPr>
          <w:tcW w:type="dxa" w:w="216"/>
          <w:tcBorders>
            <w:left w:val="single" w:sz="18" w:color="1A5C2A"/>
          </w:tcBorders>
        </w:tcPr>
        <w:p>
          <w:r>
            <w:t xml:space="preserve"> </w:t>
          </w:r>
        </w:p>
      </w:tc>
      <w:tc>
        <w:tcPr>
          <w:tcW w:type="dxa" w:w="6480"/>
        </w:tcPr>
        <w:p>
          <w:pPr>
            <w:spacing w:before="0" w:after="20"/>
            <w:jc w:val="left"/>
          </w:pPr>
          <w:r>
            <w:rPr>
              <w:b/>
              <w:color w:val="1A5C2A"/>
              <w:sz w:val="23"/>
            </w:rPr>
            <w:t>UPALI IMMIGRATION SERVICES</w:t>
          </w:r>
        </w:p>
        <w:p>
          <w:pPr>
            <w:spacing w:before="0" w:after="20"/>
            <w:jc w:val="left"/>
          </w:pPr>
          <w:r>
            <w:rPr>
              <w:b w:val="0"/>
              <w:color w:val="555555"/>
              <w:sz w:val="17"/>
            </w:rPr>
            <w:t>Immigration Service Consultancy</w:t>
          </w:r>
        </w:p>
        <w:p>
          <w:pPr>
            <w:spacing w:before="0" w:after="20"/>
            <w:jc w:val="left"/>
          </w:pPr>
          <w:r>
            <w:rPr>
              <w:b w:val="0"/>
              <w:color w:val="555555"/>
              <w:sz w:val="16"/>
            </w:rPr>
            <w:t>Sharjah Media City Free Zone (Shams), UAE</w:t>
          </w:r>
        </w:p>
        <w:p>
          <w:pPr>
            <w:spacing w:before="0" w:after="20"/>
            <w:jc w:val="left"/>
          </w:pPr>
          <w:r>
            <w:rPr>
              <w:b w:val="0"/>
              <w:color w:val="555555"/>
              <w:sz w:val="16"/>
            </w:rPr>
            <w:t>Licence No. 2646027.01  |  TRN: 105425790000001</w:t>
          </w:r>
        </w:p>
        <w:p>
          <w:pPr>
            <w:spacing w:before="0" w:after="20"/>
            <w:jc w:val="left"/>
          </w:pPr>
          <w:r>
            <w:rPr>
              <w:b w:val="0"/>
              <w:color w:val="555555"/>
              <w:sz w:val="16"/>
            </w:rPr>
            <w:t>info@myupali.lk  |  +971 54 204 0298</w:t>
          </w:r>
        </w:p>
      </w:tc>
    </w:tr>
  </w:tbl>
  <w:p>
    <w:pPr>
      <w:pBdr>
        <w:bottom w:val="single" w:sz="16" w:space="1" w:color="1A5C2A"/>
      </w:pBdr>
      <w:spacing w:before="8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