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1A7A3C"/>
          </w:tcPr>
          <w:p>
            <w:pPr>
              <w:jc w:val="center"/>
            </w:pPr>
            <w:r>
              <w:rPr>
                <w:b/>
                <w:i w:val="0"/>
                <w:color w:val="FFFFFF"/>
                <w:sz w:val="30"/>
              </w:rPr>
              <w:t>CLIENT SERVICE AGREEMENT</w:t>
            </w:r>
          </w:p>
          <w:p>
            <w:pPr>
              <w:jc w:val="center"/>
            </w:pPr>
            <w:r>
              <w:rPr>
                <w:b w:val="0"/>
                <w:i w:val="0"/>
                <w:color w:val="A8E6BF"/>
                <w:sz w:val="16"/>
              </w:rPr>
              <w:t>Governed by the Laws of the United Arab Emirates  ·  UAE VAT Decree-Law No. 8 of 2017</w:t>
            </w:r>
          </w:p>
          <w:p/>
        </w:tc>
      </w:tr>
    </w:tbl>
    <w:p>
      <w:pPr>
        <w:spacing w:after="80" w:before="80"/>
      </w:pPr>
    </w:p>
    <w:tbl>
      <w:tblPr>
        <w:tblStyle w:val="TableGrid"/>
        <w:tblW w:type="auto" w:w="0"/>
        <w:tblLook w:firstColumn="1" w:firstRow="1" w:lastColumn="0" w:lastRow="0" w:noHBand="0" w:noVBand="1" w:val="04A0"/>
      </w:tblPr>
      <w:tblGrid>
        <w:gridCol w:w="4707"/>
        <w:gridCol w:w="4707"/>
      </w:tblGrid>
      <w:tr>
        <w:tc>
          <w:tcPr>
            <w:tcW w:type="dxa" w:w="2736"/>
            <w:shd w:val="clear" w:color="auto" w:fill="1A7A3C"/>
          </w:tcPr>
          <w:p>
            <w:r>
              <w:rPr>
                <w:b/>
                <w:color w:val="FFFFFF"/>
                <w:sz w:val="16"/>
              </w:rPr>
              <w:t>Agreement Date</w:t>
            </w:r>
          </w:p>
        </w:tc>
        <w:tc>
          <w:tcPr>
            <w:tcW w:type="dxa" w:w="6336"/>
            <w:shd w:val="clear" w:color="auto" w:fill="EEF2FF"/>
          </w:tcPr>
          <w:p>
            <w:r>
              <w:rPr>
                <w:sz w:val="16"/>
              </w:rPr>
              <w:t>${System.Today}</w:t>
            </w:r>
          </w:p>
        </w:tc>
      </w:tr>
      <w:tr>
        <w:tc>
          <w:tcPr>
            <w:tcW w:type="dxa" w:w="2736"/>
            <w:shd w:val="clear" w:color="auto" w:fill="1A7A3C"/>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A7A3C"/>
          </w:tcPr>
          <w:p>
            <w:r>
              <w:rPr>
                <w:b/>
                <w:color w:val="FFFFFF"/>
                <w:sz w:val="16"/>
              </w:rPr>
              <w:t>Client Full Name</w:t>
            </w:r>
          </w:p>
        </w:tc>
        <w:tc>
          <w:tcPr>
            <w:tcW w:type="dxa" w:w="6336"/>
            <w:shd w:val="clear" w:color="auto" w:fill="EEF2FF"/>
          </w:tcPr>
          <w:p>
            <w:r>
              <w:rPr>
                <w:sz w:val="16"/>
              </w:rPr>
              <w:t>${Contacts.First_Name} ${Contacts.Last_Name}</w:t>
            </w:r>
          </w:p>
        </w:tc>
      </w:tr>
      <w:tr>
        <w:tc>
          <w:tcPr>
            <w:tcW w:type="dxa" w:w="2736"/>
            <w:shd w:val="clear" w:color="auto" w:fill="1A7A3C"/>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A7A3C"/>
          </w:tcPr>
          <w:p>
            <w:r>
              <w:rPr>
                <w:b/>
                <w:color w:val="FFFFFF"/>
                <w:sz w:val="16"/>
              </w:rPr>
              <w:t>Passport No.</w:t>
            </w:r>
          </w:p>
        </w:tc>
        <w:tc>
          <w:tcPr>
            <w:tcW w:type="dxa" w:w="6336"/>
            <w:shd w:val="clear" w:color="auto" w:fill="EEF2FF"/>
          </w:tcPr>
          <w:p>
            <w:r>
              <w:rPr>
                <w:sz w:val="16"/>
              </w:rPr>
              <w:t>${Contacts.Passport_Number}</w:t>
            </w:r>
          </w:p>
        </w:tc>
      </w:tr>
      <w:tr>
        <w:tc>
          <w:tcPr>
            <w:tcW w:type="dxa" w:w="2736"/>
            <w:shd w:val="clear" w:color="auto" w:fill="1A7A3C"/>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A7A3C"/>
          </w:tcPr>
          <w:p>
            <w:r>
              <w:rPr>
                <w:b/>
                <w:color w:val="FFFFFF"/>
                <w:sz w:val="16"/>
              </w:rPr>
              <w:t>Contact Number</w:t>
            </w:r>
          </w:p>
        </w:tc>
        <w:tc>
          <w:tcPr>
            <w:tcW w:type="dxa" w:w="6336"/>
            <w:shd w:val="clear" w:color="auto" w:fill="EEF2FF"/>
          </w:tcPr>
          <w:p>
            <w:r>
              <w:rPr>
                <w:sz w:val="16"/>
              </w:rPr>
              <w:t>${Contacts.Phone}</w:t>
            </w:r>
          </w:p>
        </w:tc>
      </w:tr>
      <w:tr>
        <w:tc>
          <w:tcPr>
            <w:tcW w:type="dxa" w:w="2736"/>
            <w:shd w:val="clear" w:color="auto" w:fill="1A7A3C"/>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A7A3C"/>
          </w:tcPr>
          <w:p>
            <w:r>
              <w:rPr>
                <w:b/>
                <w:color w:val="FFFFFF"/>
                <w:sz w:val="16"/>
              </w:rPr>
              <w:t>Country of Residence</w:t>
            </w:r>
          </w:p>
        </w:tc>
        <w:tc>
          <w:tcPr>
            <w:tcW w:type="dxa" w:w="6336"/>
            <w:shd w:val="clear" w:color="auto" w:fill="EEF2FF"/>
          </w:tcPr>
          <w:p>
            <w:r>
              <w:rPr>
                <w:sz w:val="16"/>
              </w:rPr>
              <w:t>${Contacts.Country_of_Residence}</w:t>
            </w:r>
          </w:p>
        </w:tc>
      </w:tr>
      <w:tr>
        <w:tc>
          <w:tcPr>
            <w:tcW w:type="dxa" w:w="2736"/>
            <w:shd w:val="clear" w:color="auto" w:fill="1A7A3C"/>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A7A3C"/>
          </w:tcPr>
          <w:p>
            <w:r>
              <w:rPr>
                <w:b/>
                <w:color w:val="FFFFFF"/>
                <w:sz w:val="16"/>
              </w:rPr>
              <w:t>Service</w:t>
            </w:r>
          </w:p>
        </w:tc>
        <w:tc>
          <w:tcPr>
            <w:tcW w:type="dxa" w:w="6336"/>
            <w:shd w:val="clear" w:color="auto" w:fill="EEF2FF"/>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BEB"/>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or any government body. All visa decisions rest exclusively with the relevant immigration authority. No outcome is guaranteed.</w:t>
            </w:r>
          </w:p>
        </w:tc>
      </w:tr>
    </w:tbl>
    <w:p>
      <w:pPr>
        <w:spacing w:after="20"/>
      </w:pPr>
    </w:p>
    <w:p>
      <w:pPr>
        <w:spacing w:before="140" w:after="40"/>
      </w:pPr>
      <w:r>
        <w:rPr>
          <w:b/>
          <w:color w:val="1B2A6B"/>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B2A6B"/>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B2A6B"/>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B2A6B"/>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B2A6B"/>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A7A3C"/>
          </w:tcPr>
          <w:p>
            <w:r>
              <w:rPr>
                <w:b/>
                <w:color w:val="FFFFFF"/>
                <w:sz w:val="16"/>
              </w:rPr>
              <w:t>#</w:t>
            </w:r>
          </w:p>
        </w:tc>
        <w:tc>
          <w:tcPr>
            <w:tcW w:type="dxa" w:w="4032"/>
            <w:shd w:val="clear" w:color="auto" w:fill="1A7A3C"/>
          </w:tcPr>
          <w:p>
            <w:r>
              <w:rPr>
                <w:b/>
                <w:color w:val="FFFFFF"/>
                <w:sz w:val="16"/>
              </w:rPr>
              <w:t>Description</w:t>
            </w:r>
          </w:p>
        </w:tc>
        <w:tc>
          <w:tcPr>
            <w:tcW w:type="dxa" w:w="1440"/>
            <w:shd w:val="clear" w:color="auto" w:fill="1A7A3C"/>
          </w:tcPr>
          <w:p>
            <w:r>
              <w:rPr>
                <w:b/>
                <w:color w:val="FFFFFF"/>
                <w:sz w:val="16"/>
              </w:rPr>
              <w:t>Amount AED</w:t>
            </w:r>
          </w:p>
        </w:tc>
        <w:tc>
          <w:tcPr>
            <w:tcW w:type="dxa" w:w="1944"/>
            <w:shd w:val="clear" w:color="auto" w:fill="1A7A3C"/>
          </w:tcPr>
          <w:p>
            <w:r>
              <w:rPr>
                <w:b/>
                <w:color w:val="FFFFFF"/>
                <w:sz w:val="16"/>
              </w:rPr>
              <w:t>VAT Rate</w:t>
            </w:r>
          </w:p>
        </w:tc>
        <w:tc>
          <w:tcPr>
            <w:tcW w:type="dxa" w:w="1008"/>
            <w:shd w:val="clear" w:color="auto" w:fill="1A7A3C"/>
          </w:tcPr>
          <w:p>
            <w:r>
              <w:rPr>
                <w:b/>
                <w:color w:val="FFFFFF"/>
                <w:sz w:val="16"/>
              </w:rPr>
              <w:t>VAT AED</w:t>
            </w:r>
          </w:p>
        </w:tc>
      </w:tr>
      <w:tr>
        <w:tc>
          <w:tcPr>
            <w:tcW w:type="dxa" w:w="360"/>
            <w:shd w:val="clear" w:color="auto" w:fill="EEF2FF"/>
          </w:tcPr>
          <w:p>
            <w:r>
              <w:rPr>
                <w:sz w:val="16"/>
              </w:rPr>
              <w:t>1</w:t>
            </w:r>
          </w:p>
        </w:tc>
        <w:tc>
          <w:tcPr>
            <w:tcW w:type="dxa" w:w="4032"/>
            <w:shd w:val="clear" w:color="auto" w:fill="EEF2FF"/>
          </w:tcPr>
          <w:p>
            <w:r>
              <w:rPr>
                <w:sz w:val="16"/>
              </w:rPr>
              <w:t>Consultancy Fee — ${Contacts.Destination_Country} ${Contacts.Visa_Type}</w:t>
            </w:r>
          </w:p>
        </w:tc>
        <w:tc>
          <w:tcPr>
            <w:tcW w:type="dxa" w:w="1440"/>
            <w:shd w:val="clear" w:color="auto" w:fill="EEF2FF"/>
          </w:tcPr>
          <w:p>
            <w:r>
              <w:rPr>
                <w:sz w:val="16"/>
              </w:rPr>
              <w:t>${Contacts.Consultancy_Fee_AED}</w:t>
            </w:r>
          </w:p>
        </w:tc>
        <w:tc>
          <w:tcPr>
            <w:tcW w:type="dxa" w:w="1944"/>
            <w:shd w:val="clear" w:color="auto" w:fill="EEF2FF"/>
          </w:tcPr>
          <w:p>
            <w:r>
              <w:rPr>
                <w:sz w:val="16"/>
              </w:rPr>
              <w:t>0% Zero-Rated (Art. 31)</w:t>
            </w:r>
          </w:p>
        </w:tc>
        <w:tc>
          <w:tcPr>
            <w:tcW w:type="dxa" w:w="1008"/>
            <w:shd w:val="clear" w:color="auto" w:fill="EEF2FF"/>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EF2FF"/>
          </w:tcPr>
          <w:p>
            <w:r>
              <w:rPr>
                <w:sz w:val="16"/>
              </w:rPr>
              <w:t>3</w:t>
            </w:r>
          </w:p>
        </w:tc>
        <w:tc>
          <w:tcPr>
            <w:tcW w:type="dxa" w:w="4032"/>
            <w:shd w:val="clear" w:color="auto" w:fill="EEF2FF"/>
          </w:tcPr>
          <w:p>
            <w:r>
              <w:rPr>
                <w:sz w:val="16"/>
              </w:rPr>
              <w:t>Biometric / Embassy Appointment Fee</w:t>
              <w:br/>
              <w:t>Govt disbursement — receipt matched</w:t>
            </w:r>
          </w:p>
        </w:tc>
        <w:tc>
          <w:tcPr>
            <w:tcW w:type="dxa" w:w="1440"/>
            <w:shd w:val="clear" w:color="auto" w:fill="EEF2FF"/>
          </w:tcPr>
          <w:p>
            <w:r>
              <w:rPr>
                <w:sz w:val="16"/>
              </w:rPr>
              <w:t>${Contacts.Biometric_Fee_AED}</w:t>
            </w:r>
          </w:p>
        </w:tc>
        <w:tc>
          <w:tcPr>
            <w:tcW w:type="dxa" w:w="1944"/>
            <w:shd w:val="clear" w:color="auto" w:fill="EEF2FF"/>
          </w:tcPr>
          <w:p>
            <w:r>
              <w:rPr>
                <w:sz w:val="16"/>
              </w:rPr>
              <w:t>Out of Scope</w:t>
            </w:r>
          </w:p>
        </w:tc>
        <w:tc>
          <w:tcPr>
            <w:tcW w:type="dxa" w:w="1008"/>
            <w:shd w:val="clear" w:color="auto" w:fill="EEF2FF"/>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EF2FF"/>
          </w:tcPr>
          <w:p>
            <w:r>
              <w:rPr>
                <w:b/>
                <w:sz w:val="16"/>
              </w:rPr>
            </w:r>
          </w:p>
        </w:tc>
        <w:tc>
          <w:tcPr>
            <w:tcW w:type="dxa" w:w="4032"/>
            <w:shd w:val="clear" w:color="auto" w:fill="EEF2FF"/>
          </w:tcPr>
          <w:p>
            <w:r>
              <w:rPr>
                <w:b/>
                <w:sz w:val="16"/>
              </w:rPr>
              <w:t>TOTAL DUE  (Outside-UAE — Zero-Rated)</w:t>
            </w:r>
          </w:p>
        </w:tc>
        <w:tc>
          <w:tcPr>
            <w:tcW w:type="dxa" w:w="1440"/>
            <w:shd w:val="clear" w:color="auto" w:fill="EEF2FF"/>
          </w:tcPr>
          <w:p>
            <w:r>
              <w:rPr>
                <w:b/>
                <w:sz w:val="16"/>
              </w:rPr>
              <w:t>AED ${Contacts.Package_Price_AED}</w:t>
            </w:r>
          </w:p>
        </w:tc>
        <w:tc>
          <w:tcPr>
            <w:tcW w:type="dxa" w:w="1944"/>
            <w:shd w:val="clear" w:color="auto" w:fill="EEF2FF"/>
          </w:tcPr>
          <w:p>
            <w:r>
              <w:rPr>
                <w:b/>
                <w:sz w:val="16"/>
              </w:rPr>
            </w:r>
          </w:p>
        </w:tc>
        <w:tc>
          <w:tcPr>
            <w:tcW w:type="dxa" w:w="1008"/>
            <w:shd w:val="clear" w:color="auto" w:fill="EEF2FF"/>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via supplementary Tax Invoice.</w:t>
      </w:r>
    </w:p>
    <w:p>
      <w:pPr>
        <w:spacing w:before="0" w:after="40"/>
      </w:pPr>
      <w:r>
        <w:rPr>
          <w:sz w:val="17"/>
        </w:rPr>
        <w:t>5.4  Government Disbursements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B2A6B"/>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per Article 22, UAE PDPL.</w:t>
      </w:r>
    </w:p>
    <w:p>
      <w:pPr>
        <w:spacing w:before="0" w:after="40"/>
      </w:pPr>
      <w:r>
        <w:rPr>
          <w:sz w:val="17"/>
        </w:rPr>
        <w:t>6.6  Data Subject Rights: Client may access, correct, erase, and withdraw consent. Complaints to the UAE Data Office.</w:t>
      </w:r>
    </w:p>
    <w:p>
      <w:pPr>
        <w:spacing w:before="0" w:after="40"/>
      </w:pPr>
      <w:r>
        <w:rPr>
          <w:sz w:val="17"/>
        </w:rPr>
        <w:t>6.7  Retention: Data retained for service duration plus 5 years (UAE VAT Art. 78 &amp; AML), then securely deleted.</w:t>
      </w:r>
    </w:p>
    <w:p>
      <w:pPr>
        <w:spacing w:before="0" w:after="40"/>
      </w:pPr>
      <w:r>
        <w:rPr>
          <w:sz w:val="17"/>
        </w:rPr>
        <w:t>6.8  Data Breach: Client notified within 72 hours of any breach affecting their Personal Data.</w:t>
      </w:r>
    </w:p>
    <w:p>
      <w:pPr>
        <w:spacing w:before="140" w:after="40"/>
      </w:pPr>
      <w:r>
        <w:rPr>
          <w:b/>
          <w:color w:val="1B2A6B"/>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A7A3C"/>
          </w:tcPr>
          <w:p>
            <w:r>
              <w:rPr>
                <w:b/>
                <w:color w:val="FFFFFF"/>
                <w:sz w:val="16"/>
              </w:rPr>
              <w:t>Stage</w:t>
            </w:r>
          </w:p>
        </w:tc>
        <w:tc>
          <w:tcPr>
            <w:tcW w:type="dxa" w:w="4032"/>
            <w:shd w:val="clear" w:color="auto" w:fill="1A7A3C"/>
          </w:tcPr>
          <w:p>
            <w:r>
              <w:rPr>
                <w:b/>
                <w:color w:val="FFFFFF"/>
                <w:sz w:val="16"/>
              </w:rPr>
              <w:t>Milestone</w:t>
            </w:r>
          </w:p>
        </w:tc>
        <w:tc>
          <w:tcPr>
            <w:tcW w:type="dxa" w:w="3888"/>
            <w:shd w:val="clear" w:color="auto" w:fill="1A7A3C"/>
          </w:tcPr>
          <w:p>
            <w:r>
              <w:rPr>
                <w:b/>
                <w:color w:val="FFFFFF"/>
                <w:sz w:val="16"/>
              </w:rPr>
              <w:t>Client Refund Entitlement</w:t>
            </w:r>
          </w:p>
        </w:tc>
      </w:tr>
      <w:tr>
        <w:tc>
          <w:tcPr>
            <w:tcW w:type="dxa" w:w="1152"/>
            <w:shd w:val="clear" w:color="auto" w:fill="EEF2FF"/>
          </w:tcPr>
          <w:p>
            <w:r>
              <w:rPr>
                <w:sz w:val="16"/>
              </w:rPr>
              <w:t>Stage 1</w:t>
            </w:r>
          </w:p>
        </w:tc>
        <w:tc>
          <w:tcPr>
            <w:tcW w:type="dxa" w:w="4032"/>
            <w:shd w:val="clear" w:color="auto" w:fill="EEF2FF"/>
          </w:tcPr>
          <w:p>
            <w:r>
              <w:rPr>
                <w:sz w:val="16"/>
              </w:rPr>
              <w:t>Eligibility assessment completed</w:t>
            </w:r>
          </w:p>
        </w:tc>
        <w:tc>
          <w:tcPr>
            <w:tcW w:type="dxa" w:w="3888"/>
            <w:shd w:val="clear" w:color="auto" w:fill="EEF2FF"/>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EF2FF"/>
          </w:tcPr>
          <w:p>
            <w:r>
              <w:rPr>
                <w:sz w:val="16"/>
              </w:rPr>
              <w:t>Stage 3</w:t>
            </w:r>
          </w:p>
        </w:tc>
        <w:tc>
          <w:tcPr>
            <w:tcW w:type="dxa" w:w="4032"/>
            <w:shd w:val="clear" w:color="auto" w:fill="EEF2FF"/>
          </w:tcPr>
          <w:p>
            <w:r>
              <w:rPr>
                <w:sz w:val="16"/>
              </w:rPr>
              <w:t>Application submitted to Immigration</w:t>
            </w:r>
          </w:p>
        </w:tc>
        <w:tc>
          <w:tcPr>
            <w:tcW w:type="dxa" w:w="3888"/>
            <w:shd w:val="clear" w:color="auto" w:fill="EEF2FF"/>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within 30 days of discovery of any service deficiency.</w:t>
      </w:r>
    </w:p>
    <w:p>
      <w:pPr>
        <w:spacing w:before="0" w:after="40"/>
      </w:pPr>
      <w:r>
        <w:rPr>
          <w:sz w:val="17"/>
        </w:rPr>
        <w:t>7.4  Right to Cure: Service Provider has 14 days to remedy deficiency at no charge before a refund obligation arises.</w:t>
      </w:r>
    </w:p>
    <w:p>
      <w:pPr>
        <w:spacing w:before="0" w:after="40"/>
      </w:pPr>
      <w:r>
        <w:rPr>
          <w:sz w:val="17"/>
        </w:rPr>
        <w:t>7.5  Visa Rejection Review: Refund eligibility reviewed case-by-case within 21 days where Client is not at fault.</w:t>
      </w:r>
    </w:p>
    <w:p>
      <w:pPr>
        <w:spacing w:before="0" w:after="40"/>
      </w:pPr>
      <w:r>
        <w:rPr>
          <w:sz w:val="17"/>
        </w:rPr>
        <w:t>7.6  Non-Refundable: Government fees, biometric charges, and air ticket charges once paid to third parties.</w:t>
      </w:r>
    </w:p>
    <w:p>
      <w:pPr>
        <w:spacing w:before="0" w:after="40"/>
      </w:pPr>
      <w:r>
        <w:rPr>
          <w:sz w:val="17"/>
        </w:rPr>
        <w:t>7.7  VAT Adjustment: Any refund accompanied by a Credit Note per Article 62, UAE VAT Executive Regulations.</w:t>
      </w:r>
    </w:p>
    <w:p>
      <w:pPr>
        <w:spacing w:before="140" w:after="40"/>
      </w:pPr>
      <w:r>
        <w:rPr>
          <w:b/>
          <w:color w:val="1B2A6B"/>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w:t>
      </w:r>
    </w:p>
    <w:p>
      <w:pPr>
        <w:spacing w:before="0" w:after="40"/>
      </w:pPr>
      <w:r>
        <w:rPr>
          <w:sz w:val="17"/>
        </w:rPr>
        <w:t>8.4  Liability Cap: Maximum liability is the Consultancy Fee paid (AED ${Contacts.Consultancy_Fee_AED}), excluding disbursements and air ticket.</w:t>
      </w:r>
    </w:p>
    <w:p>
      <w:pPr>
        <w:spacing w:before="140" w:after="40"/>
      </w:pPr>
      <w:r>
        <w:rPr>
          <w:b/>
          <w:color w:val="1B2A6B"/>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false/fraudulent information; (b) AML/CFT breach; (c) non-payment for more than 21 days; (d) legal/regulatory risk.</w:t>
      </w:r>
    </w:p>
    <w:p>
      <w:pPr>
        <w:spacing w:before="0" w:after="40"/>
      </w:pPr>
      <w:r>
        <w:rPr>
          <w:sz w:val="17"/>
        </w:rPr>
        <w:t>9.3  Original Client documents returned within 14 days of termination. Final Tax Invoice / Credit Note to be issued.</w:t>
      </w:r>
    </w:p>
    <w:p>
      <w:pPr>
        <w:spacing w:before="140" w:after="40"/>
      </w:pPr>
      <w:r>
        <w:rPr>
          <w:b/>
          <w:color w:val="1B2A6B"/>
          <w:sz w:val="19"/>
        </w:rPr>
        <w:t>10.  Force Majeure</w:t>
      </w:r>
    </w:p>
    <w:p>
      <w:pPr>
        <w:spacing w:before="0" w:after="40"/>
      </w:pPr>
      <w:r>
        <w:rPr>
          <w:sz w:val="17"/>
        </w:rPr>
        <w:t>10.1  Neither party liable for delay caused by: acts of God, war, terrorism, pandemic, immigration policy changes, travel restrictions, airline/embassy closures, or third-party system failures.</w:t>
      </w:r>
    </w:p>
    <w:p>
      <w:pPr>
        <w:spacing w:before="0" w:after="40"/>
      </w:pPr>
      <w:r>
        <w:rPr>
          <w:sz w:val="17"/>
        </w:rPr>
        <w:t>10.2  Affected party notifies other within 7 days. Obligations suspended. If event exceeds 60 days, either party may terminate on 14 days notice; §7.2 pro-rata refund applies.</w:t>
      </w:r>
    </w:p>
    <w:p>
      <w:pPr>
        <w:spacing w:before="140" w:after="40"/>
      </w:pPr>
      <w:r>
        <w:rPr>
          <w:b/>
          <w:color w:val="1B2A6B"/>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CDD conducted on all clients.</w:t>
      </w:r>
    </w:p>
    <w:p>
      <w:pPr>
        <w:spacing w:before="0" w:after="40"/>
      </w:pPr>
      <w:r>
        <w:rPr>
          <w:sz w:val="17"/>
        </w:rPr>
        <w:t>11.2  Source of Funds: By signing, Client declares all payment funds are from legitimate, lawful sources; not subject to sanctions; acting on own behalf.</w:t>
      </w:r>
    </w:p>
    <w:p>
      <w:pPr>
        <w:spacing w:before="0" w:after="40"/>
      </w:pPr>
      <w:r>
        <w:rPr>
          <w:sz w:val="17"/>
        </w:rPr>
        <w:t>11.3  The Service Provider may file a Suspicious Transaction Report (STR) with UAE FIU. Tipping off is prohibited by law.</w:t>
      </w:r>
    </w:p>
    <w:p>
      <w:pPr>
        <w:spacing w:before="0" w:after="40"/>
      </w:pPr>
      <w:r>
        <w:rPr>
          <w:sz w:val="17"/>
        </w:rPr>
        <w:t>11.4  Service Provider may refuse or terminate services immediately if AML/CFT due diligence cannot be completed.</w:t>
      </w:r>
    </w:p>
    <w:p>
      <w:pPr>
        <w:spacing w:before="140" w:after="40"/>
      </w:pPr>
      <w:r>
        <w:rPr>
          <w:b/>
          <w:color w:val="1B2A6B"/>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B2A6B"/>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80" w:after="0"/>
      </w:pPr>
    </w:p>
    <w:p>
      <w:pPr>
        <w:pBdr>
          <w:bottom w:val="single" w:sz="8" w:space="1" w:color="1A5C2A"/>
        </w:pBdr>
        <w:spacing w:before="60" w:after="60"/>
      </w:pPr>
    </w:p>
    <w:p>
      <w:pPr>
        <w:spacing w:before="0" w:after="80"/>
      </w:pPr>
      <w:r>
        <w:rPr>
          <w:b/>
          <w:i w:val="0"/>
          <w:color w:val="1B2A6B"/>
          <w:sz w:val="22"/>
        </w:rPr>
        <w:t>SIGNATURES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707"/>
        <w:gridCol w:w="4707"/>
      </w:tblGrid>
      <w:tr>
        <w:tc>
          <w:tcPr>
            <w:tcW w:type="dxa" w:w="4464"/>
            <w:shd w:val="clear" w:color="auto" w:fill="EEF2FF"/>
          </w:tcPr>
          <w:p>
            <w:pPr>
              <w:spacing w:before="0" w:after="40"/>
            </w:pPr>
            <w:r>
              <w:rPr>
                <w:b/>
                <w:i w:val="0"/>
                <w:color w:val="1B2A6B"/>
                <w:sz w:val="20"/>
              </w:rPr>
              <w:t>SERVICE PROVIDER</w:t>
            </w:r>
          </w:p>
          <w:p>
            <w:pPr>
              <w:spacing w:before="0" w:after="40"/>
            </w:pPr>
            <w:r>
              <w:rPr>
                <w:b/>
                <w:i w:val="0"/>
                <w:color w:val="1B2A6B"/>
                <w:sz w:val="18"/>
              </w:rPr>
              <w:t>UPALI IMMIGRATION SERVICES</w:t>
            </w:r>
          </w:p>
          <w:p>
            <w:pPr>
              <w:spacing w:before="0" w:after="40"/>
            </w:pPr>
            <w:r>
              <w:rPr>
                <w:b w:val="0"/>
                <w:i w:val="0"/>
                <w:color w:val="555555"/>
                <w:sz w:val="15"/>
              </w:rPr>
              <w:t>Licence No. 2646027.01  |  TRN: 105425790000001</w:t>
            </w:r>
          </w:p>
          <w:p>
            <w:pPr>
              <w:spacing w:before="60" w:after="0"/>
              <w:jc w:val="left"/>
            </w:pPr>
            <w:r>
              <w:drawing>
                <wp:inline xmlns:a="http://schemas.openxmlformats.org/drawingml/2006/main" xmlns:pic="http://schemas.openxmlformats.org/drawingml/2006/picture">
                  <wp:extent cx="1371600" cy="1373629"/>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1371600" cy="1373629"/>
                          </a:xfrm>
                          <a:prstGeom prst="rect"/>
                        </pic:spPr>
                      </pic:pic>
                    </a:graphicData>
                  </a:graphic>
                </wp:inline>
              </w:drawing>
            </w:r>
          </w:p>
          <w:p>
            <w:pPr>
              <w:spacing w:before="0" w:after="40"/>
            </w:pPr>
            <w:r>
              <w:rPr>
                <w:b/>
                <w:i w:val="0"/>
                <w:color w:val="1B2A6B"/>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tc>
        <w:tc>
          <w:tcPr>
            <w:tcW w:type="dxa" w:w="4608"/>
            <w:shd w:val="clear" w:color="auto" w:fill="F9F9F9"/>
          </w:tcPr>
          <w:p>
            <w:pPr>
              <w:spacing w:before="0" w:after="40"/>
            </w:pPr>
            <w:r>
              <w:rPr>
                <w:b/>
                <w:i w:val="0"/>
                <w:color w:val="1B2A6B"/>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60" w:before="0"/>
      </w:pPr>
    </w:p>
    <w:p>
      <w:pPr>
        <w:pBdr>
          <w:bottom w:val="single" w:sz="6" w:space="1" w:color="1A5C2A"/>
        </w:pBdr>
        <w:spacing w:before="40" w:after="40"/>
      </w:pPr>
    </w:p>
    <w:p>
      <w:pPr>
        <w:spacing w:before="0" w:after="60"/>
      </w:pPr>
      <w:r>
        <w:rPr>
          <w:b/>
          <w:i w:val="0"/>
          <w:color w:val="1B2A6B"/>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A7A3C"/>
          </w:tcPr>
          <w:p>
            <w:pPr>
              <w:spacing w:before="40" w:after="40"/>
            </w:pPr>
            <w:r>
              <w:rPr>
                <w:b/>
                <w:color w:val="FFFFFF"/>
                <w:sz w:val="16"/>
              </w:rPr>
              <w:t>Law / Decree</w:t>
            </w:r>
          </w:p>
        </w:tc>
        <w:tc>
          <w:tcPr>
            <w:tcW w:type="dxa" w:w="5616"/>
            <w:shd w:val="clear" w:color="auto" w:fill="1A7A3C"/>
          </w:tcPr>
          <w:p>
            <w:pPr>
              <w:spacing w:before="40" w:after="40"/>
            </w:pPr>
            <w:r>
              <w:rPr>
                <w:b/>
                <w:color w:val="FFFFFF"/>
                <w:sz w:val="16"/>
              </w:rPr>
              <w:t>Subject Matter</w:t>
            </w:r>
          </w:p>
        </w:tc>
      </w:tr>
      <w:tr>
        <w:tc>
          <w:tcPr>
            <w:tcW w:type="dxa" w:w="3456"/>
            <w:shd w:val="clear" w:color="auto" w:fill="EEF2FF"/>
          </w:tcPr>
          <w:p>
            <w:pPr>
              <w:spacing w:before="40" w:after="40"/>
            </w:pPr>
            <w:r>
              <w:rPr>
                <w:sz w:val="16"/>
              </w:rPr>
              <w:t>Federal Decree-Law No. 29 of 2021</w:t>
            </w:r>
          </w:p>
        </w:tc>
        <w:tc>
          <w:tcPr>
            <w:tcW w:type="dxa" w:w="5616"/>
            <w:shd w:val="clear" w:color="auto" w:fill="EEF2FF"/>
          </w:tcPr>
          <w:p>
            <w:pPr>
              <w:spacing w:before="40" w:after="40"/>
            </w:pPr>
            <w:r>
              <w:rPr>
                <w:sz w:val="16"/>
              </w:rPr>
              <w:t>Entry and Residence of Foreigners</w:t>
            </w:r>
          </w:p>
        </w:tc>
      </w:tr>
      <w:tr>
        <w:tc>
          <w:tcPr>
            <w:tcW w:type="dxa" w:w="3456"/>
            <w:shd w:val="clear" w:color="auto" w:fill="FFFFFF"/>
          </w:tcPr>
          <w:p>
            <w:pPr>
              <w:spacing w:before="40" w:after="40"/>
            </w:pPr>
            <w:r>
              <w:rPr>
                <w:sz w:val="16"/>
              </w:rPr>
              <w:t>Cabinet Resolution No. 65 of 2022</w:t>
            </w:r>
          </w:p>
        </w:tc>
        <w:tc>
          <w:tcPr>
            <w:tcW w:type="dxa" w:w="5616"/>
            <w:shd w:val="clear" w:color="auto" w:fill="FFFFFF"/>
          </w:tcPr>
          <w:p>
            <w:pPr>
              <w:spacing w:before="40" w:after="40"/>
            </w:pPr>
            <w:r>
              <w:rPr>
                <w:sz w:val="16"/>
              </w:rPr>
              <w:t>Executive Regulations — Entry and Residence</w:t>
            </w:r>
          </w:p>
        </w:tc>
      </w:tr>
      <w:tr>
        <w:tc>
          <w:tcPr>
            <w:tcW w:type="dxa" w:w="3456"/>
            <w:shd w:val="clear" w:color="auto" w:fill="EEF2FF"/>
          </w:tcPr>
          <w:p>
            <w:pPr>
              <w:spacing w:before="40" w:after="40"/>
            </w:pPr>
            <w:r>
              <w:rPr>
                <w:sz w:val="16"/>
              </w:rPr>
              <w:t>Federal Decree-Law No. 8 of 2017</w:t>
            </w:r>
          </w:p>
        </w:tc>
        <w:tc>
          <w:tcPr>
            <w:tcW w:type="dxa" w:w="5616"/>
            <w:shd w:val="clear" w:color="auto" w:fill="EEF2FF"/>
          </w:tcPr>
          <w:p>
            <w:pPr>
              <w:spacing w:before="40" w:after="40"/>
            </w:pPr>
            <w:r>
              <w:rPr>
                <w:sz w:val="16"/>
              </w:rPr>
              <w:t>Value Added Tax Law</w:t>
            </w:r>
          </w:p>
        </w:tc>
      </w:tr>
      <w:tr>
        <w:tc>
          <w:tcPr>
            <w:tcW w:type="dxa" w:w="3456"/>
            <w:shd w:val="clear" w:color="auto" w:fill="FFFFFF"/>
          </w:tcPr>
          <w:p>
            <w:pPr>
              <w:spacing w:before="40" w:after="40"/>
            </w:pPr>
            <w:r>
              <w:rPr>
                <w:sz w:val="16"/>
              </w:rPr>
              <w:t>Federal Law No. 15 of 2020</w:t>
            </w:r>
          </w:p>
        </w:tc>
        <w:tc>
          <w:tcPr>
            <w:tcW w:type="dxa" w:w="5616"/>
            <w:shd w:val="clear" w:color="auto" w:fill="FFFFFF"/>
          </w:tcPr>
          <w:p>
            <w:pPr>
              <w:spacing w:before="40" w:after="40"/>
            </w:pPr>
            <w:r>
              <w:rPr>
                <w:sz w:val="16"/>
              </w:rPr>
              <w:t>Consumer Protection</w:t>
            </w:r>
          </w:p>
        </w:tc>
      </w:tr>
      <w:tr>
        <w:tc>
          <w:tcPr>
            <w:tcW w:type="dxa" w:w="3456"/>
            <w:shd w:val="clear" w:color="auto" w:fill="EEF2FF"/>
          </w:tcPr>
          <w:p>
            <w:pPr>
              <w:spacing w:before="40" w:after="40"/>
            </w:pPr>
            <w:r>
              <w:rPr>
                <w:sz w:val="16"/>
              </w:rPr>
              <w:t>Cabinet Decision No. 66 of 2023</w:t>
            </w:r>
          </w:p>
        </w:tc>
        <w:tc>
          <w:tcPr>
            <w:tcW w:type="dxa" w:w="5616"/>
            <w:shd w:val="clear" w:color="auto" w:fill="EEF2FF"/>
          </w:tcPr>
          <w:p>
            <w:pPr>
              <w:spacing w:before="40" w:after="40"/>
            </w:pPr>
            <w:r>
              <w:rPr>
                <w:sz w:val="16"/>
              </w:rPr>
              <w:t>Executive Regulations — Consumer Protection</w:t>
            </w:r>
          </w:p>
        </w:tc>
      </w:tr>
      <w:tr>
        <w:tc>
          <w:tcPr>
            <w:tcW w:type="dxa" w:w="3456"/>
            <w:shd w:val="clear" w:color="auto" w:fill="FFFFFF"/>
          </w:tcPr>
          <w:p>
            <w:pPr>
              <w:spacing w:before="40" w:after="40"/>
            </w:pPr>
            <w:r>
              <w:rPr>
                <w:sz w:val="16"/>
              </w:rPr>
              <w:t>Federal Decree-Law No. 45 of 2021</w:t>
            </w:r>
          </w:p>
        </w:tc>
        <w:tc>
          <w:tcPr>
            <w:tcW w:type="dxa" w:w="5616"/>
            <w:shd w:val="clear" w:color="auto" w:fill="FFFFFF"/>
          </w:tcPr>
          <w:p>
            <w:pPr>
              <w:spacing w:before="40" w:after="40"/>
            </w:pPr>
            <w:r>
              <w:rPr>
                <w:sz w:val="16"/>
              </w:rPr>
              <w:t>Protection of Personal Data (PDPL)</w:t>
            </w:r>
          </w:p>
        </w:tc>
      </w:tr>
      <w:tr>
        <w:tc>
          <w:tcPr>
            <w:tcW w:type="dxa" w:w="3456"/>
            <w:shd w:val="clear" w:color="auto" w:fill="EEF2FF"/>
          </w:tcPr>
          <w:p>
            <w:pPr>
              <w:spacing w:before="40" w:after="40"/>
            </w:pPr>
            <w:r>
              <w:rPr>
                <w:sz w:val="16"/>
              </w:rPr>
              <w:t>Federal Decree-Law No. 20 of 2018</w:t>
            </w:r>
          </w:p>
        </w:tc>
        <w:tc>
          <w:tcPr>
            <w:tcW w:type="dxa" w:w="5616"/>
            <w:shd w:val="clear" w:color="auto" w:fill="EEF2FF"/>
          </w:tcPr>
          <w:p>
            <w:pPr>
              <w:spacing w:before="40" w:after="40"/>
            </w:pPr>
            <w:r>
              <w:rPr>
                <w:sz w:val="16"/>
              </w:rPr>
              <w:t>Anti-Money Laundering &amp; Combating Financing of Terrorism</w:t>
            </w:r>
          </w:p>
        </w:tc>
      </w:tr>
      <w:tr>
        <w:tc>
          <w:tcPr>
            <w:tcW w:type="dxa" w:w="3456"/>
            <w:shd w:val="clear" w:color="auto" w:fill="FFFFFF"/>
          </w:tcPr>
          <w:p>
            <w:pPr>
              <w:spacing w:before="40" w:after="40"/>
            </w:pPr>
            <w:r>
              <w:rPr>
                <w:sz w:val="16"/>
              </w:rPr>
              <w:t>Federal Decree-Law No. 50 of 2022</w:t>
            </w:r>
          </w:p>
        </w:tc>
        <w:tc>
          <w:tcPr>
            <w:tcW w:type="dxa" w:w="5616"/>
            <w:shd w:val="clear" w:color="auto" w:fill="FFFFFF"/>
          </w:tcPr>
          <w:p>
            <w:pPr>
              <w:spacing w:before="40" w:after="40"/>
            </w:pPr>
            <w:r>
              <w:rPr>
                <w:sz w:val="16"/>
              </w:rPr>
              <w:t>Commercial Transactions Law</w:t>
            </w:r>
          </w:p>
        </w:tc>
      </w:tr>
      <w:tr>
        <w:tc>
          <w:tcPr>
            <w:tcW w:type="dxa" w:w="3456"/>
            <w:shd w:val="clear" w:color="auto" w:fill="EEF2FF"/>
          </w:tcPr>
          <w:p>
            <w:pPr>
              <w:spacing w:before="40" w:after="40"/>
            </w:pPr>
            <w:r>
              <w:rPr>
                <w:b/>
                <w:sz w:val="16"/>
              </w:rPr>
              <w:t>Federal Law No. 5 of 1985</w:t>
            </w:r>
          </w:p>
        </w:tc>
        <w:tc>
          <w:tcPr>
            <w:tcW w:type="dxa" w:w="5616"/>
            <w:shd w:val="clear" w:color="auto" w:fill="EEF2FF"/>
          </w:tcPr>
          <w:p>
            <w:pPr>
              <w:spacing w:before="40" w:after="40"/>
            </w:pPr>
            <w:r>
              <w:rPr>
                <w:b/>
                <w:sz w:val="16"/>
              </w:rPr>
              <w:t>Civil Transactions Law (Civil Code)</w:t>
            </w:r>
          </w:p>
        </w:tc>
      </w:tr>
    </w:tbl>
    <w:p>
      <w:pPr>
        <w:spacing w:after="20" w:before="0"/>
      </w:pPr>
    </w:p>
    <w:p>
      <w:pPr>
        <w:spacing w:before="40" w:after="0"/>
      </w:pPr>
      <w:r>
        <w:rPr>
          <w:b w:val="0"/>
          <w:i/>
          <w:color w:val="555555"/>
          <w:sz w:val="16"/>
        </w:rPr>
        <w:t>Both parties confirm they have read, understood, and agree to all terms of this Agreement.</w:t>
      </w:r>
    </w:p>
    <w:sectPr w:rsidR="00FC693F" w:rsidRPr="0006063C" w:rsidSect="00034616">
      <w:pgSz w:w="11909" w:h="16834"/>
      <w:pgMar w:top="850" w:right="1134" w:bottom="1020" w:left="1247" w:header="720" w:footer="480" w:gutter="0"/>
      <w:cols w:space="720"/>
      <w:docGrid w:linePitch="360"/>
      <w:headerReference w:type="default" r:id="rId9"/>
      <w:footerReference w:type="default" r:id="rId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Bdr>
        <w:top w:val="single" w:sz="12" w:space="4" w:color="1A5C2E"/>
      </w:pBdr>
      <w:jc w:val="center"/>
      <w:spacing w:before="80" w:after="0"/>
    </w:pPr>
    <w:r>
      <w:rPr>
        <w:color w:val="1A5C2E"/>
        <w:sz w:val="14"/>
        <w:szCs w:val="14"/>
      </w:rPr>
      <w:t xml:space="preserve">Page </w:t>
    </w:r>
    <w:r>
      <w:rPr>
        <w:color w:val="1A5C2E"/>
        <w:sz w:val="14"/>
        <w:szCs w:val="14"/>
      </w:rPr>
      <w:fldChar w:fldCharType="begin"/>
    </w:r>
    <w:r>
      <w:rPr>
        <w:color w:val="1A5C2E"/>
        <w:sz w:val="14"/>
        <w:szCs w:val="14"/>
      </w:rPr>
      <w:instrText>PAGE</w:instrText>
    </w:r>
    <w:r>
      <w:rPr>
        <w:color w:val="1A5C2E"/>
        <w:sz w:val="14"/>
        <w:szCs w:val="14"/>
      </w:rPr>
      <w:fldChar w:fldCharType="end"/>
    </w:r>
    <w:r>
      <w:rPr>
        <w:color w:val="1A5C2E"/>
        <w:sz w:val="14"/>
        <w:szCs w:val="14"/>
      </w:rPr>
      <w:t xml:space="preserve"> of </w:t>
    </w:r>
    <w:r>
      <w:rPr>
        <w:color w:val="1A5C2E"/>
        <w:sz w:val="14"/>
        <w:szCs w:val="14"/>
      </w:rPr>
      <w:fldChar w:fldCharType="begin"/>
    </w:r>
    <w:r>
      <w:rPr>
        <w:color w:val="1A5C2E"/>
        <w:sz w:val="14"/>
        <w:szCs w:val="14"/>
      </w:rPr>
      <w:instrText>NUMPAGES</w:instrText>
    </w:r>
    <w:r>
      <w:rPr>
        <w:color w:val="1A5C2E"/>
        <w:sz w:val="14"/>
        <w:szCs w:val="14"/>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638" w:type="dxa"/>
      <w:tblBorders>
        <w:top w:val="none" w:sz="0" w:space="0" w:color="auto"/>
        <w:left w:val="none" w:sz="0" w:space="0" w:color="auto"/>
        <w:bottom w:val="single" w:sz="16" w:space="0" w:color="1A7A3C"/>
        <w:right w:val="none" w:sz="0" w:space="0" w:color="auto"/>
        <w:insideH w:val="none" w:sz="0" w:space="0" w:color="auto"/>
        <w:insideV w:val="none" w:sz="0" w:space="0" w:color="auto"/>
      </w:tblBorders>
      <w:tblCellMar>
        <w:top w:w="80" w:type="dxa"/>
        <w:left w:w="120" w:type="dxa"/>
        <w:bottom w:w="80" w:type="dxa"/>
        <w:right w:w="120" w:type="dxa"/>
      </w:tblCellMar>
    </w:tblPr>
    <w:tblGrid>
      <w:gridCol w:w="1700"/>
      <w:gridCol w:w="7500"/>
    </w:tblGrid>
    <w:tr>
      <!-- LEFT col: dark green background, white logo centred -->
      <w:tc>
        <w:tcPr>
          <w:tcW w:w="1700" w:type="dxa"/>
          <w:shd w:val="clear" w:color="auto" w:fill="FFFFFF"/>
          <w:vAlign w:val="center"/>
          <w:tcBorders>
            <w:top w:val="none" w:sz="0" w:space="0" w:color="auto"/>
            <w:left w:val="none" w:sz="0" w:space="0" w:color="auto"/>
            <w:bottom w:val="none" w:sz="0" w:space="0" w:color="auto"/>
            <w:right w:val="none" w:sz="0" w:space="0" w:color="auto"/>
          </w:tcBorders>
        </w:tcPr>
        <w:p>
          <w:pPr>
            <w:jc w:val="center"/>
            <w:spacing w:before="60" w:after="60"/>
          </w:pPr>
          <w:r xmlns:w="http://schemas.openxmlformats.org/wordprocessingml/2006/main">
            <w:rPr/>
            <w:drawing>
              <wp:inline xmlns:wp="http://schemas.openxmlformats.org/drawingml/2006/wordprocessingDrawing" distT="0" distB="0" distL="0" distR="0">
                <wp:extent cx="1188720" cy="118872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hImg1"/>
                        <a:stretch>
                          <a:fillRect/>
                        </a:stretch>
                      </pic:blipFill>
                      <pic:spPr>
                        <a:xfrm>
                          <a:off x="0" y="0"/>
                          <a:ext cx="1188720" cy="1188720"/>
                        </a:xfrm>
                        <a:prstGeom prst="rect">
                          <a:avLst/>
                        </a:prstGeom>
                      </pic:spPr>
                    </pic:pic>
                  </a:graphicData>
                </a:graphic>
              </wp:inline>
            </w:drawing>
          </w:r>
        </w:p>
      </w:tc>
      <!-- RIGHT col: soft light green, company details -->
      <w:tc>
        <w:tcPr>
          <w:tcW w:w="7500" w:type="dxa"/>
          <w:shd w:val="clear" w:color="auto" w:fill="F2FBF5"/>
          <w:vAlign w:val="center"/>
        </w:tcPr>
        <w:p>
          <w:pPr>
            <w:spacing w:before="60" w:after="20"/>
          </w:pPr>
          <w:r>
            <w:rPr>
              <w:b/>
              <w:bCs/>
              <w:color w:val="1A7A3C"/>
              <w:sz w:val="28"/>
              <w:szCs w:val="28"/>
            </w:rPr>
            <w:t>UPALI IMMIGRATION SERVICES</w:t>
          </w:r>
        </w:p>
        <w:p>
          <w:pPr>
            <w:spacing w:before="0" w:after="20"/>
          </w:pPr>
          <w:r>
            <w:rPr>
              <w:i/>
              <w:iCs/>
              <w:color w:val="D4A017"/>
              <w:sz w:val="17"/>
              <w:szCs w:val="17"/>
            </w:rPr>
            <w:t>Immigration Solutions  •  Logistics Connecting Worlds</w:t>
          </w:r>
        </w:p>
        <w:p>
          <w:pPr>
            <w:spacing w:before="0" w:after="16"/>
          </w:pPr>
          <w:r>
            <w:rPr>
              <w:b/>
              <w:bCs/>
              <w:color w:val="2D2D2D"/>
              <w:sz w:val="16"/>
              <w:szCs w:val="16"/>
            </w:rPr>
            <w:t>Licence No. 2646027.01   |   TRN: 105425790000001</w:t>
          </w:r>
        </w:p>
        <w:p>
          <w:pPr>
            <w:spacing w:before="0" w:after="14"/>
          </w:pPr>
          <w:r>
            <w:rPr>
              <w:color w:val="444444"/>
              <w:sz w:val="15"/>
              <w:szCs w:val="15"/>
            </w:rPr>
            <w:t>Shams Free Zone, Sharjah Media City, Sharjah, UAE</w:t>
          </w:r>
        </w:p>
        <w:p>
          <w:pPr>
            <w:spacing w:before="0" w:after="50"/>
          </w:pPr>
          <w:r>
            <w:rPr>
              <w:color w:val="444444"/>
              <w:sz w:val="15"/>
              <w:szCs w:val="15"/>
            </w:rPr>
            <w:t>+971 54 204 0298  •  info@myupali.lk  •  www.myupali.lk</w:t>
          </w:r>
        </w:p>
      </w:tc>
    </w:tr>
  </w:tbl>
  <w:p>
    <w:pPr>
      <w:pBdr>
        <w:bottom w:val="single" w:sz="18" w:space="4" w:color="1A5C2E"/>
      </w:pBdr>
      <w:spacing w:before="0" w:after="0"/>
    </w:pPr>
  </w:p>
  <w:p>
    <w:pPr>
      <w:jc w:val="center"/>
    </w:pPr>
    <w:r>
      <w:rPr>
        <w:noProof/>
      </w:rPr>
      <w:pict>
        <v:shape xmlns:v="urn:schemas-microsoft-com:vml" id="watermark" type="#_x0000_t136" style="position:absolute;margin-left:0;margin-top:0;width:580pt;height:160pt;z-index:-251654144;mso-position-horizontal:center;mso-position-horizontal-relative:margin;mso-position-vertical:center;mso-position-vertical-relative:margin" fillcolor="#C8E6C9" stroked="f">
          <v:fill on="t" type="solid" color="#1A7A3C" opacity="0.12"/>
          <v:textpath style="font-family:&quot;Arial&quot;;font-size:1pt;font-weight:bold" string="UPALI IMMIGRATION SERVICES" trim="t" fitshape="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12" Type="http://schemas.openxmlformats.org/officeDocument/2006/relationships/image" Target="media/image2.jpg"/><Relationship Id="rId9" Type="http://schemas.openxmlformats.org/officeDocument/2006/relationships/header" Target="header1.xml"/><Relationship Id="rId10"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hImg1" Type="http://schemas.openxmlformats.org/officeDocument/2006/relationships/image" Target="media/hdr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