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1A376C"/>
          </w:tcPr>
          <w:p>
            <w:pPr>
              <w:jc w:val="center"/>
            </w:pPr>
            <w:r>
              <w:rPr>
                <w:b/>
                <w:color w:val="FFFFFF"/>
                <w:sz w:val="32"/>
              </w:rPr>
              <w:t>CLIENT SERVICE AGREEMENT</w:t>
            </w:r>
          </w:p>
          <w:p/>
          <w:p>
            <w:pPr>
              <w:jc w:val="center"/>
            </w:pPr>
            <w:r>
              <w:rPr>
                <w:color w:val="B8CCE4"/>
                <w:sz w:val="18"/>
              </w:rPr>
              <w:t>UPALI IMMIGRATION SERVICES  ·  Shams Free Zone, Sharjah, UAE</w:t>
            </w:r>
          </w:p>
          <w:p>
            <w:pPr>
              <w:jc w:val="center"/>
            </w:pPr>
            <w:r>
              <w:rPr>
                <w:color w:val="B8CCE4"/>
                <w:sz w:val="16"/>
              </w:rPr>
              <w:t>Licence No. 2646027.01  |  TRN: 105425790000001  |  Governed by UAE Federal Law  ·  UAE VAT Decree-Law No. 8 of 2017</w:t>
            </w:r>
          </w:p>
          <w:p/>
        </w:tc>
      </w:tr>
    </w:tbl>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1A376C"/>
          </w:tcPr>
          <w:p>
            <w:r>
              <w:rPr>
                <w:b/>
                <w:color w:val="FFFFFF"/>
                <w:sz w:val="18"/>
              </w:rPr>
              <w:t>Agreement Date</w:t>
            </w:r>
          </w:p>
        </w:tc>
        <w:tc>
          <w:tcPr>
            <w:tcW w:type="dxa" w:w="5760"/>
            <w:shd w:val="clear" w:color="auto" w:fill="E8EDF5"/>
          </w:tcPr>
          <w:p>
            <w:r>
              <w:rPr>
                <w:color w:val="000000"/>
                <w:sz w:val="18"/>
              </w:rPr>
              <w:t>${System.Today}</w:t>
            </w:r>
          </w:p>
        </w:tc>
      </w:tr>
      <w:tr>
        <w:tc>
          <w:tcPr>
            <w:tcW w:type="dxa" w:w="3168"/>
            <w:shd w:val="clear" w:color="auto" w:fill="1A376C"/>
          </w:tcPr>
          <w:p>
            <w:r>
              <w:rPr>
                <w:b/>
                <w:color w:val="FFFFFF"/>
                <w:sz w:val="18"/>
              </w:rPr>
              <w:t>Agreement Reference No.</w:t>
            </w:r>
          </w:p>
        </w:tc>
        <w:tc>
          <w:tcPr>
            <w:tcW w:type="dxa" w:w="5760"/>
            <w:shd w:val="clear" w:color="auto" w:fill="F7F9FC"/>
          </w:tcPr>
          <w:p>
            <w:r>
              <w:rPr>
                <w:color w:val="000000"/>
                <w:sz w:val="18"/>
              </w:rPr>
              <w:t>${Contacts.Agreement_Reference}</w:t>
            </w:r>
          </w:p>
        </w:tc>
      </w:tr>
      <w:tr>
        <w:tc>
          <w:tcPr>
            <w:tcW w:type="dxa" w:w="3168"/>
            <w:shd w:val="clear" w:color="auto" w:fill="1A376C"/>
          </w:tcPr>
          <w:p>
            <w:r>
              <w:rPr>
                <w:b/>
                <w:color w:val="FFFFFF"/>
                <w:sz w:val="18"/>
              </w:rPr>
              <w:t>Client Full Name</w:t>
            </w:r>
          </w:p>
        </w:tc>
        <w:tc>
          <w:tcPr>
            <w:tcW w:type="dxa" w:w="5760"/>
            <w:shd w:val="clear" w:color="auto" w:fill="E8EDF5"/>
          </w:tcPr>
          <w:p>
            <w:r>
              <w:rPr>
                <w:color w:val="000000"/>
                <w:sz w:val="18"/>
              </w:rPr>
              <w:t>${Contacts.First_Name} ${Contacts.Last_Name}</w:t>
            </w:r>
          </w:p>
        </w:tc>
      </w:tr>
      <w:tr>
        <w:tc>
          <w:tcPr>
            <w:tcW w:type="dxa" w:w="3168"/>
            <w:shd w:val="clear" w:color="auto" w:fill="1A376C"/>
          </w:tcPr>
          <w:p>
            <w:r>
              <w:rPr>
                <w:b/>
                <w:color w:val="FFFFFF"/>
                <w:sz w:val="18"/>
              </w:rPr>
              <w:t>Nationality</w:t>
            </w:r>
          </w:p>
        </w:tc>
        <w:tc>
          <w:tcPr>
            <w:tcW w:type="dxa" w:w="5760"/>
            <w:shd w:val="clear" w:color="auto" w:fill="F7F9FC"/>
          </w:tcPr>
          <w:p>
            <w:r>
              <w:rPr>
                <w:color w:val="000000"/>
                <w:sz w:val="18"/>
              </w:rPr>
              <w:t>${Contacts.Nationality}</w:t>
            </w:r>
          </w:p>
        </w:tc>
      </w:tr>
      <w:tr>
        <w:tc>
          <w:tcPr>
            <w:tcW w:type="dxa" w:w="3168"/>
            <w:shd w:val="clear" w:color="auto" w:fill="1A376C"/>
          </w:tcPr>
          <w:p>
            <w:r>
              <w:rPr>
                <w:b/>
                <w:color w:val="FFFFFF"/>
                <w:sz w:val="18"/>
              </w:rPr>
              <w:t>Passport No.</w:t>
            </w:r>
          </w:p>
        </w:tc>
        <w:tc>
          <w:tcPr>
            <w:tcW w:type="dxa" w:w="5760"/>
            <w:shd w:val="clear" w:color="auto" w:fill="E8EDF5"/>
          </w:tcPr>
          <w:p>
            <w:r>
              <w:rPr>
                <w:color w:val="000000"/>
                <w:sz w:val="18"/>
              </w:rPr>
              <w:t>${Contacts.Passport_Number}</w:t>
            </w:r>
          </w:p>
        </w:tc>
      </w:tr>
      <w:tr>
        <w:tc>
          <w:tcPr>
            <w:tcW w:type="dxa" w:w="3168"/>
            <w:shd w:val="clear" w:color="auto" w:fill="1A376C"/>
          </w:tcPr>
          <w:p>
            <w:r>
              <w:rPr>
                <w:b/>
                <w:color w:val="FFFFFF"/>
                <w:sz w:val="18"/>
              </w:rPr>
              <w:t>Date of Birth</w:t>
            </w:r>
          </w:p>
        </w:tc>
        <w:tc>
          <w:tcPr>
            <w:tcW w:type="dxa" w:w="5760"/>
            <w:shd w:val="clear" w:color="auto" w:fill="F7F9FC"/>
          </w:tcPr>
          <w:p>
            <w:r>
              <w:rPr>
                <w:color w:val="000000"/>
                <w:sz w:val="18"/>
              </w:rPr>
              <w:t>${Contacts.Date_of_Birth}</w:t>
            </w:r>
          </w:p>
        </w:tc>
      </w:tr>
      <w:tr>
        <w:tc>
          <w:tcPr>
            <w:tcW w:type="dxa" w:w="3168"/>
            <w:shd w:val="clear" w:color="auto" w:fill="1A376C"/>
          </w:tcPr>
          <w:p>
            <w:r>
              <w:rPr>
                <w:b/>
                <w:color w:val="FFFFFF"/>
                <w:sz w:val="18"/>
              </w:rPr>
              <w:t>Contact Number</w:t>
            </w:r>
          </w:p>
        </w:tc>
        <w:tc>
          <w:tcPr>
            <w:tcW w:type="dxa" w:w="5760"/>
            <w:shd w:val="clear" w:color="auto" w:fill="E8EDF5"/>
          </w:tcPr>
          <w:p>
            <w:r>
              <w:rPr>
                <w:color w:val="000000"/>
                <w:sz w:val="18"/>
              </w:rPr>
              <w:t>${Contacts.Phone}</w:t>
            </w:r>
          </w:p>
        </w:tc>
      </w:tr>
      <w:tr>
        <w:tc>
          <w:tcPr>
            <w:tcW w:type="dxa" w:w="3168"/>
            <w:shd w:val="clear" w:color="auto" w:fill="1A376C"/>
          </w:tcPr>
          <w:p>
            <w:r>
              <w:rPr>
                <w:b/>
                <w:color w:val="FFFFFF"/>
                <w:sz w:val="18"/>
              </w:rPr>
              <w:t>Email Address</w:t>
            </w:r>
          </w:p>
        </w:tc>
        <w:tc>
          <w:tcPr>
            <w:tcW w:type="dxa" w:w="5760"/>
            <w:shd w:val="clear" w:color="auto" w:fill="F7F9FC"/>
          </w:tcPr>
          <w:p>
            <w:r>
              <w:rPr>
                <w:color w:val="000000"/>
                <w:sz w:val="18"/>
              </w:rPr>
              <w:t>${Contacts.Email}</w:t>
            </w:r>
          </w:p>
        </w:tc>
      </w:tr>
      <w:tr>
        <w:tc>
          <w:tcPr>
            <w:tcW w:type="dxa" w:w="3168"/>
            <w:shd w:val="clear" w:color="auto" w:fill="1A376C"/>
          </w:tcPr>
          <w:p>
            <w:r>
              <w:rPr>
                <w:b/>
                <w:color w:val="FFFFFF"/>
                <w:sz w:val="18"/>
              </w:rPr>
              <w:t>Country of Residence</w:t>
            </w:r>
          </w:p>
        </w:tc>
        <w:tc>
          <w:tcPr>
            <w:tcW w:type="dxa" w:w="5760"/>
            <w:shd w:val="clear" w:color="auto" w:fill="E8EDF5"/>
          </w:tcPr>
          <w:p>
            <w:r>
              <w:rPr>
                <w:color w:val="000000"/>
                <w:sz w:val="18"/>
              </w:rPr>
              <w:t>${Contacts.Country_of_Residence}</w:t>
            </w:r>
          </w:p>
        </w:tc>
      </w:tr>
      <w:tr>
        <w:tc>
          <w:tcPr>
            <w:tcW w:type="dxa" w:w="3168"/>
            <w:shd w:val="clear" w:color="auto" w:fill="1A376C"/>
          </w:tcPr>
          <w:p>
            <w:r>
              <w:rPr>
                <w:b/>
                <w:color w:val="FFFFFF"/>
                <w:sz w:val="18"/>
              </w:rPr>
              <w:t>Destination Country</w:t>
            </w:r>
          </w:p>
        </w:tc>
        <w:tc>
          <w:tcPr>
            <w:tcW w:type="dxa" w:w="5760"/>
            <w:shd w:val="clear" w:color="auto" w:fill="F7F9FC"/>
          </w:tcPr>
          <w:p>
            <w:r>
              <w:rPr>
                <w:color w:val="000000"/>
                <w:sz w:val="18"/>
              </w:rPr>
              <w:t>${Contacts.Destination_Country}</w:t>
            </w:r>
          </w:p>
        </w:tc>
      </w:tr>
      <w:tr>
        <w:tc>
          <w:tcPr>
            <w:tcW w:type="dxa" w:w="3168"/>
            <w:shd w:val="clear" w:color="auto" w:fill="1A376C"/>
          </w:tcPr>
          <w:p>
            <w:r>
              <w:rPr>
                <w:b/>
                <w:color w:val="FFFFFF"/>
                <w:sz w:val="18"/>
              </w:rPr>
              <w:t>Service Required</w:t>
            </w:r>
          </w:p>
        </w:tc>
        <w:tc>
          <w:tcPr>
            <w:tcW w:type="dxa" w:w="5760"/>
            <w:shd w:val="clear" w:color="auto" w:fill="E8EDF5"/>
          </w:tcPr>
          <w:p>
            <w:r>
              <w:rPr>
                <w:color w:val="000000"/>
                <w:sz w:val="18"/>
              </w:rPr>
              <w:t>${Contacts.Destination_Country} ${Contacts.Visa_Type} — End-to-End Immigration Consultancy</w:t>
            </w:r>
          </w:p>
        </w:tc>
      </w:tr>
    </w:tbl>
    <w:p/>
    <w:tbl>
      <w:tblPr>
        <w:tblW w:type="auto" w:w="0"/>
        <w:tblLook w:firstColumn="1" w:firstRow="1" w:lastColumn="0" w:lastRow="0" w:noHBand="0" w:noVBand="1" w:val="04A0"/>
      </w:tblPr>
      <w:tblGrid>
        <w:gridCol w:w="9406"/>
      </w:tblGrid>
      <w:tr>
        <w:tc>
          <w:tcPr>
            <w:tcW w:type="dxa" w:w="9406"/>
            <w:shd w:val="clear" w:color="auto" w:fill="FFF3CD"/>
            <w:tcBorders>
              <w:top w:val="single" w:sz="6" w:space="0" w:color="C07A00"/>
            </w:tcBorders>
            <w:tcBorders>
              <w:left w:val="single" w:sz="6" w:space="0" w:color="C07A00"/>
            </w:tcBorders>
            <w:tcBorders>
              <w:bottom w:val="single" w:sz="6" w:space="0" w:color="C07A00"/>
            </w:tcBorders>
            <w:tcBorders>
              <w:right w:val="single" w:sz="6" w:space="0" w:color="C07A00"/>
            </w:tcBorders>
          </w:tcPr>
          <w:p>
            <w:r>
              <w:rPr>
                <w:b/>
                <w:color w:val="7D4E00"/>
                <w:sz w:val="19"/>
              </w:rPr>
              <w:t>⚠  REGULATORY NOTICE — Please Read Carefully</w:t>
            </w:r>
          </w:p>
          <w:p>
            <w:r>
              <w:rPr>
                <w:color w:val="7D4E00"/>
                <w:sz w:val="18"/>
              </w:rPr>
              <w:t>UPALI IMMIGRATION SERVICES is a private immigration consultancy firm licensed by Sharjah Media City Free Zone (Shams), UAE. It is NOT an agency, representative, or affiliate of: the UAE Federal Authority for Identity, Citizenship, Customs &amp; Port Security (ICP/ICA); the UAE General Directorate of Residency and Foreigners Affairs (GDRFA); the New Zealand Immigration Authority (Immigration New Zealand); or any other government body. All final visa decisions rest exclusively with the relevant immigration authority. No outcome is guaranteed.</w:t>
            </w:r>
          </w:p>
        </w:tc>
      </w:tr>
    </w:tbl>
    <w:p/>
    <w:p>
      <w:pPr>
        <w:spacing w:before="200" w:after="60"/>
      </w:pPr>
      <w:r>
        <w:rPr>
          <w:b/>
          <w:color w:val="1A376C"/>
          <w:sz w:val="22"/>
        </w:rPr>
        <w:t>1.  Parties to the Agreement</w:t>
      </w:r>
    </w:p>
    <w:p>
      <w:pPr>
        <w:spacing w:after="80" w:before="0"/>
      </w:pPr>
      <w:r>
        <w:rPr>
          <w:sz w:val="19"/>
        </w:rPr>
        <w:t>This Client Service Agreement ("Agreement") is entered into between UPALI IMMIGRATION SERVICES, a company registered in Sharjah Media City Free Zone (Shams), UAE, Licence No. 2646027.01, holder of UAE Tax Registration Number (TRN) 105425790000001 ("Service Provider"), and ${Contacts.First_Name} ${Contacts.Last_Name}, ${Contacts.Nationality}, holder of Passport No. ${Contacts.Passport_Number}, with country of residence ${Contacts.Country_of_Residence} ("Client"). The Service Provider is a private consultancy firm and is not an agent or representative of any UAE or foreign government immigration authority.</w:t>
      </w:r>
    </w:p>
    <w:p>
      <w:pPr>
        <w:spacing w:before="200" w:after="60"/>
      </w:pPr>
      <w:r>
        <w:rPr>
          <w:b/>
          <w:color w:val="1A376C"/>
          <w:sz w:val="22"/>
        </w:rPr>
        <w:t>2.  Scope of Services</w:t>
      </w:r>
    </w:p>
    <w:p>
      <w:pPr>
        <w:spacing w:after="80" w:before="0"/>
      </w:pPr>
      <w:r>
        <w:rPr>
          <w:sz w:val="19"/>
        </w:rPr>
        <w:t>The Service Provider agrees to provide immigration consultancy and related services for the Client's ${Contacts.Destination_Country} ${Contacts.Visa_Type} application, which includes but is not limited to:</w:t>
      </w:r>
    </w:p>
    <w:p>
      <w:pPr>
        <w:pStyle w:val="ListBullet"/>
        <w:spacing w:after="40" w:before="0"/>
        <w:ind w:left="720"/>
      </w:pPr>
      <w:r>
        <w:rPr>
          <w:sz w:val="19"/>
        </w:rPr>
        <w:t>End-to-end consultancy on the ${Contacts.Destination_Country} ${Contacts.Visa_Type} pathway</w:t>
      </w:r>
    </w:p>
    <w:p>
      <w:pPr>
        <w:pStyle w:val="ListBullet"/>
        <w:spacing w:after="40" w:before="0"/>
        <w:ind w:left="720"/>
      </w:pPr>
      <w:r>
        <w:rPr>
          <w:sz w:val="19"/>
        </w:rPr>
        <w:t>Eligibility assessment and document review</w:t>
      </w:r>
    </w:p>
    <w:p>
      <w:pPr>
        <w:pStyle w:val="ListBullet"/>
        <w:spacing w:after="40" w:before="0"/>
        <w:ind w:left="720"/>
      </w:pPr>
      <w:r>
        <w:rPr>
          <w:sz w:val="19"/>
        </w:rPr>
        <w:t>Visa application preparation and submission to ${Contacts.Destination_Country} Immigration</w:t>
      </w:r>
    </w:p>
    <w:p>
      <w:pPr>
        <w:pStyle w:val="ListBullet"/>
        <w:spacing w:after="40" w:before="0"/>
        <w:ind w:left="720"/>
      </w:pPr>
      <w:r>
        <w:rPr>
          <w:sz w:val="19"/>
        </w:rPr>
        <w:t>Coordination of biometric / embassy appointments</w:t>
      </w:r>
    </w:p>
    <w:p>
      <w:pPr>
        <w:pStyle w:val="ListBullet"/>
        <w:spacing w:after="40" w:before="0"/>
        <w:ind w:left="720"/>
      </w:pPr>
      <w:r>
        <w:rPr>
          <w:sz w:val="19"/>
        </w:rPr>
        <w:t>Liaison with employers, sponsors, and government authorities</w:t>
      </w:r>
    </w:p>
    <w:p>
      <w:pPr>
        <w:pStyle w:val="ListBullet"/>
        <w:spacing w:after="40" w:before="0"/>
        <w:ind w:left="720"/>
      </w:pPr>
      <w:r>
        <w:rPr>
          <w:sz w:val="19"/>
        </w:rPr>
        <w:t>International air-ticket booking (UAE → ${Contacts.Destination_Country})</w:t>
      </w:r>
    </w:p>
    <w:p>
      <w:pPr>
        <w:pStyle w:val="ListBullet"/>
        <w:spacing w:after="40" w:before="0"/>
        <w:ind w:left="720"/>
      </w:pPr>
      <w:r>
        <w:rPr>
          <w:sz w:val="19"/>
        </w:rPr>
        <w:t>Post-arrival orientation support</w:t>
      </w:r>
    </w:p>
    <w:p>
      <w:pPr>
        <w:spacing w:before="200" w:after="60"/>
      </w:pPr>
      <w:r>
        <w:rPr>
          <w:b/>
          <w:color w:val="1A376C"/>
          <w:sz w:val="22"/>
        </w:rPr>
        <w:t>3.  Client Obligations</w:t>
      </w:r>
    </w:p>
    <w:p>
      <w:pPr>
        <w:spacing w:after="80" w:before="0"/>
      </w:pPr>
      <w:r>
        <w:rPr>
          <w:sz w:val="19"/>
        </w:rPr>
        <w:t>The Client agrees to:</w:t>
      </w:r>
    </w:p>
    <w:p>
      <w:pPr>
        <w:pStyle w:val="ListBullet"/>
        <w:spacing w:after="40" w:before="0"/>
        <w:ind w:left="720"/>
      </w:pPr>
      <w:r>
        <w:rPr>
          <w:sz w:val="19"/>
        </w:rPr>
        <w:t>Provide all required documents in a timely and accurate manner.</w:t>
      </w:r>
    </w:p>
    <w:p>
      <w:pPr>
        <w:pStyle w:val="ListBullet"/>
        <w:spacing w:after="40" w:before="0"/>
        <w:ind w:left="720"/>
      </w:pPr>
      <w:r>
        <w:rPr>
          <w:sz w:val="19"/>
        </w:rPr>
        <w:t>Disclose truthful, complete, and accurate information relevant to the ${Contacts.Destination_Country} visa application. Any misrepresentation, omission, or submission of false documentation constitutes a material breach of this Agreement (see clause 8.3).</w:t>
      </w:r>
    </w:p>
    <w:p>
      <w:pPr>
        <w:pStyle w:val="ListBullet"/>
        <w:spacing w:after="40" w:before="0"/>
        <w:ind w:left="720"/>
      </w:pPr>
      <w:r>
        <w:rPr>
          <w:sz w:val="19"/>
        </w:rPr>
        <w:t>Pay all agreed fees within the specified payment schedule.</w:t>
      </w:r>
    </w:p>
    <w:p>
      <w:pPr>
        <w:pStyle w:val="ListBullet"/>
        <w:spacing w:after="40" w:before="0"/>
        <w:ind w:left="720"/>
      </w:pPr>
      <w:r>
        <w:rPr>
          <w:sz w:val="19"/>
        </w:rPr>
        <w:t>Notify the Service Provider immediately of any changes in personal circumstances (e.g., change of address, criminal history, change of employment) that may affect the visa application.</w:t>
      </w:r>
    </w:p>
    <w:p>
      <w:pPr>
        <w:pStyle w:val="ListBullet"/>
        <w:spacing w:after="40" w:before="0"/>
        <w:ind w:left="720"/>
      </w:pPr>
      <w:r>
        <w:rPr>
          <w:sz w:val="19"/>
        </w:rPr>
        <w:t>Cooperate fully with the Service Provider throughout the process.</w:t>
      </w:r>
    </w:p>
    <w:p>
      <w:pPr>
        <w:pStyle w:val="ListBullet"/>
        <w:spacing w:after="40" w:before="0"/>
        <w:ind w:left="720"/>
      </w:pPr>
      <w:r>
        <w:rPr>
          <w:sz w:val="19"/>
        </w:rPr>
        <w:t>Provide the four zero-rating documents listed in clause 5.6 before the Service Provider issues a zero-rated Tax Invoice.</w:t>
      </w:r>
    </w:p>
    <w:p>
      <w:pPr>
        <w:pStyle w:val="ListBullet"/>
        <w:spacing w:after="40" w:before="0"/>
        <w:ind w:left="720"/>
      </w:pPr>
      <w:r>
        <w:rPr>
          <w:sz w:val="19"/>
        </w:rPr>
        <w:t>Confirm in writing that all funds used to pay fees under this Agreement are from a legitimate and lawful source (Source-of-Funds Declaration — see clause 11).</w:t>
      </w:r>
    </w:p>
    <w:p>
      <w:pPr>
        <w:spacing w:before="200" w:after="60"/>
      </w:pPr>
      <w:r>
        <w:rPr>
          <w:b/>
          <w:color w:val="1A376C"/>
          <w:sz w:val="22"/>
        </w:rPr>
        <w:t>4.  Cancellation Right &amp; Cooling-Off Period</w:t>
      </w:r>
    </w:p>
    <w:p>
      <w:pPr>
        <w:spacing w:after="80" w:before="0"/>
      </w:pPr>
      <w:r>
        <w:rPr>
          <w:sz w:val="19"/>
        </w:rPr>
        <w:t>4.1  Right to Cancel Before Service Commencement. Pursuant to UAE Federal Law No. 15 of 2020 on Consumer Protection and Cabinet Decision No. 66 of 2023, the Client has the right to cancel this Agreement within seven (7) calendar days of signing ("Cooling-Off Period"), provided that the Service Provider has not yet commenced delivery of the agreed services. Cancellation must be made in writing to the Service Provider.</w:t>
      </w:r>
    </w:p>
    <w:p>
      <w:pPr>
        <w:spacing w:after="80" w:before="0"/>
      </w:pPr>
      <w:r>
        <w:rPr>
          <w:sz w:val="19"/>
        </w:rPr>
        <w:t>4.2  Full Refund on Cooling-Off Cancellation. If the Client cancels within the Cooling-Off Period and no services have been commenced, all fees paid shall be refunded in full within fourteen (14) calendar days, subject to deduction of any non-recoverable third-party costs already incurred (e.g., government application fees already submitted).</w:t>
      </w:r>
    </w:p>
    <w:p>
      <w:pPr>
        <w:spacing w:after="80" w:before="0"/>
      </w:pPr>
      <w:r>
        <w:rPr>
          <w:sz w:val="19"/>
        </w:rPr>
        <w:t>4.3  Service Commencement Notice. The Service Provider shall notify the Client in writing when services have formally commenced. Once services have commenced, the pro-rata refund policy in clause 7 applies.</w:t>
      </w:r>
    </w:p>
    <w:p>
      <w:pPr>
        <w:spacing w:before="200" w:after="60"/>
      </w:pPr>
      <w:r>
        <w:rPr>
          <w:b/>
          <w:color w:val="1A376C"/>
          <w:sz w:val="22"/>
        </w:rPr>
        <w:t>5.  Fees, VAT Treatment and Payment (FTA-Compliant)</w:t>
      </w:r>
    </w:p>
    <w:p>
      <w:pPr>
        <w:spacing w:after="80" w:before="0"/>
      </w:pPr>
      <w:r>
        <w:rPr>
          <w:sz w:val="19"/>
        </w:rPr>
        <w:t>5.1  All fees are quoted in UAE Dirhams (AED). Pursuant to UAE Federal Decree-Law No. 8 of 2017 on Value Added Tax and its Executive Regulations, the AED ${Contacts.Package_Price_AED} ${Contacts.Destination_Country} package is itemised below. Each component carries its own VAT treatment. Bundled (single-line) pricing is not permitted under FTA rules.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val="clear" w:color="auto" w:fill="1A376C"/>
          </w:tcPr>
          <w:p>
            <w:pPr>
              <w:jc w:val="center"/>
            </w:pPr>
            <w:r>
              <w:rPr>
                <w:b/>
                <w:color w:val="FFFFFF"/>
                <w:sz w:val="17"/>
              </w:rPr>
              <w:t>#</w:t>
            </w:r>
          </w:p>
        </w:tc>
        <w:tc>
          <w:tcPr>
            <w:tcW w:type="dxa" w:w="4032"/>
            <w:shd w:val="clear" w:color="auto" w:fill="1A376C"/>
          </w:tcPr>
          <w:p>
            <w:pPr>
              <w:jc w:val="center"/>
            </w:pPr>
            <w:r>
              <w:rPr>
                <w:b/>
                <w:color w:val="FFFFFF"/>
                <w:sz w:val="17"/>
              </w:rPr>
              <w:t>Description</w:t>
            </w:r>
          </w:p>
        </w:tc>
        <w:tc>
          <w:tcPr>
            <w:tcW w:type="dxa" w:w="1440"/>
            <w:shd w:val="clear" w:color="auto" w:fill="1A376C"/>
          </w:tcPr>
          <w:p>
            <w:pPr>
              <w:jc w:val="center"/>
            </w:pPr>
            <w:r>
              <w:rPr>
                <w:b/>
                <w:color w:val="FFFFFF"/>
                <w:sz w:val="17"/>
              </w:rPr>
              <w:t>Amount AED</w:t>
            </w:r>
          </w:p>
        </w:tc>
        <w:tc>
          <w:tcPr>
            <w:tcW w:type="dxa" w:w="1872"/>
            <w:shd w:val="clear" w:color="auto" w:fill="1A376C"/>
          </w:tcPr>
          <w:p>
            <w:pPr>
              <w:jc w:val="center"/>
            </w:pPr>
            <w:r>
              <w:rPr>
                <w:b/>
                <w:color w:val="FFFFFF"/>
                <w:sz w:val="17"/>
              </w:rPr>
              <w:t>VAT Rate</w:t>
            </w:r>
          </w:p>
        </w:tc>
        <w:tc>
          <w:tcPr>
            <w:tcW w:type="dxa" w:w="1008"/>
            <w:shd w:val="clear" w:color="auto" w:fill="1A376C"/>
          </w:tcPr>
          <w:p>
            <w:pPr>
              <w:jc w:val="center"/>
            </w:pPr>
            <w:r>
              <w:rPr>
                <w:b/>
                <w:color w:val="FFFFFF"/>
                <w:sz w:val="17"/>
              </w:rPr>
              <w:t>VAT AED</w:t>
            </w:r>
          </w:p>
        </w:tc>
      </w:tr>
      <w:tr>
        <w:tc>
          <w:tcPr>
            <w:tcW w:type="dxa" w:w="432"/>
            <w:shd w:val="clear" w:color="auto" w:fill="F7F9FC"/>
          </w:tcPr>
          <w:p>
            <w:r>
              <w:rPr>
                <w:sz w:val="17"/>
              </w:rPr>
              <w:t>1</w:t>
            </w:r>
          </w:p>
        </w:tc>
        <w:tc>
          <w:tcPr>
            <w:tcW w:type="dxa" w:w="4032"/>
            <w:shd w:val="clear" w:color="auto" w:fill="F7F9FC"/>
          </w:tcPr>
          <w:p>
            <w:r>
              <w:rPr>
                <w:sz w:val="17"/>
              </w:rPr>
              <w:t>Consultancy Fee</w:t>
              <w:br/>
              <w:t>${Contacts.Destination_Country} ${Contacts.Visa_Type} — End-to-End Immigration Consultancy</w:t>
            </w:r>
          </w:p>
        </w:tc>
        <w:tc>
          <w:tcPr>
            <w:tcW w:type="dxa" w:w="1440"/>
            <w:shd w:val="clear" w:color="auto" w:fill="F7F9FC"/>
          </w:tcPr>
          <w:p>
            <w:r>
              <w:rPr>
                <w:sz w:val="17"/>
              </w:rPr>
              <w:t>${Contacts.Consultancy_Fee_AED}</w:t>
            </w:r>
          </w:p>
        </w:tc>
        <w:tc>
          <w:tcPr>
            <w:tcW w:type="dxa" w:w="1872"/>
            <w:shd w:val="clear" w:color="auto" w:fill="F7F9FC"/>
          </w:tcPr>
          <w:p>
            <w:r>
              <w:rPr>
                <w:sz w:val="17"/>
              </w:rPr>
              <w:t>0% — Zero-Rated (Art. 31)</w:t>
            </w:r>
          </w:p>
        </w:tc>
        <w:tc>
          <w:tcPr>
            <w:tcW w:type="dxa" w:w="1008"/>
            <w:shd w:val="clear" w:color="auto" w:fill="F7F9FC"/>
          </w:tcPr>
          <w:p>
            <w:r>
              <w:rPr>
                <w:sz w:val="17"/>
              </w:rPr>
              <w:t>0.00</w:t>
            </w:r>
          </w:p>
        </w:tc>
      </w:tr>
      <w:tr>
        <w:tc>
          <w:tcPr>
            <w:tcW w:type="dxa" w:w="432"/>
            <w:shd w:val="clear" w:color="auto" w:fill="FFFFFF"/>
          </w:tcPr>
          <w:p>
            <w:r>
              <w:rPr>
                <w:sz w:val="17"/>
              </w:rPr>
              <w:t>2</w:t>
            </w:r>
          </w:p>
        </w:tc>
        <w:tc>
          <w:tcPr>
            <w:tcW w:type="dxa" w:w="4032"/>
            <w:shd w:val="clear" w:color="auto" w:fill="FFFFFF"/>
          </w:tcPr>
          <w:p>
            <w:r>
              <w:rPr>
                <w:sz w:val="17"/>
              </w:rPr>
              <w:t>Visa Application Fee (${Contacts.Destination_Country} Immigration)</w:t>
              <w:br/>
              <w:t>Government disbursement — actual receipt to be matched</w:t>
            </w:r>
          </w:p>
        </w:tc>
        <w:tc>
          <w:tcPr>
            <w:tcW w:type="dxa" w:w="1440"/>
            <w:shd w:val="clear" w:color="auto" w:fill="FFFFFF"/>
          </w:tcPr>
          <w:p>
            <w:r>
              <w:rPr>
                <w:sz w:val="17"/>
              </w:rPr>
              <w:t>${Contacts.Visa_Fee_AED}</w:t>
            </w:r>
          </w:p>
        </w:tc>
        <w:tc>
          <w:tcPr>
            <w:tcW w:type="dxa" w:w="1872"/>
            <w:shd w:val="clear" w:color="auto" w:fill="FFFFFF"/>
          </w:tcPr>
          <w:p>
            <w:r>
              <w:rPr>
                <w:sz w:val="17"/>
              </w:rPr>
              <w:t>Out of Scope</w:t>
            </w:r>
          </w:p>
        </w:tc>
        <w:tc>
          <w:tcPr>
            <w:tcW w:type="dxa" w:w="1008"/>
            <w:shd w:val="clear" w:color="auto" w:fill="FFFFFF"/>
          </w:tcPr>
          <w:p>
            <w:r>
              <w:rPr>
                <w:sz w:val="17"/>
              </w:rPr>
              <w:t>—</w:t>
            </w:r>
          </w:p>
        </w:tc>
      </w:tr>
      <w:tr>
        <w:tc>
          <w:tcPr>
            <w:tcW w:type="dxa" w:w="432"/>
            <w:shd w:val="clear" w:color="auto" w:fill="F7F9FC"/>
          </w:tcPr>
          <w:p>
            <w:r>
              <w:rPr>
                <w:sz w:val="17"/>
              </w:rPr>
              <w:t>3</w:t>
            </w:r>
          </w:p>
        </w:tc>
        <w:tc>
          <w:tcPr>
            <w:tcW w:type="dxa" w:w="4032"/>
            <w:shd w:val="clear" w:color="auto" w:fill="F7F9FC"/>
          </w:tcPr>
          <w:p>
            <w:r>
              <w:rPr>
                <w:sz w:val="17"/>
              </w:rPr>
              <w:t>Biometric / Embassy Appointment Fee</w:t>
              <w:br/>
              <w:t>Government disbursement — actual receipt to be matched</w:t>
            </w:r>
          </w:p>
        </w:tc>
        <w:tc>
          <w:tcPr>
            <w:tcW w:type="dxa" w:w="1440"/>
            <w:shd w:val="clear" w:color="auto" w:fill="F7F9FC"/>
          </w:tcPr>
          <w:p>
            <w:r>
              <w:rPr>
                <w:sz w:val="17"/>
              </w:rPr>
              <w:t>${Contacts.Biometric_Fee_AED}</w:t>
            </w:r>
          </w:p>
        </w:tc>
        <w:tc>
          <w:tcPr>
            <w:tcW w:type="dxa" w:w="1872"/>
            <w:shd w:val="clear" w:color="auto" w:fill="F7F9FC"/>
          </w:tcPr>
          <w:p>
            <w:r>
              <w:rPr>
                <w:sz w:val="17"/>
              </w:rPr>
              <w:t>Out of Scope</w:t>
            </w:r>
          </w:p>
        </w:tc>
        <w:tc>
          <w:tcPr>
            <w:tcW w:type="dxa" w:w="1008"/>
            <w:shd w:val="clear" w:color="auto" w:fill="F7F9FC"/>
          </w:tcPr>
          <w:p>
            <w:r>
              <w:rPr>
                <w:sz w:val="17"/>
              </w:rPr>
              <w:t>—</w:t>
            </w:r>
          </w:p>
        </w:tc>
      </w:tr>
      <w:tr>
        <w:tc>
          <w:tcPr>
            <w:tcW w:type="dxa" w:w="432"/>
            <w:shd w:val="clear" w:color="auto" w:fill="FFFFFF"/>
          </w:tcPr>
          <w:p>
            <w:r>
              <w:rPr>
                <w:sz w:val="17"/>
              </w:rPr>
              <w:t>4</w:t>
            </w:r>
          </w:p>
        </w:tc>
        <w:tc>
          <w:tcPr>
            <w:tcW w:type="dxa" w:w="4032"/>
            <w:shd w:val="clear" w:color="auto" w:fill="FFFFFF"/>
          </w:tcPr>
          <w:p>
            <w:r>
              <w:rPr>
                <w:sz w:val="17"/>
              </w:rPr>
              <w:t>International Air Ticket (UAE → ${Contacts.Destination_Country})</w:t>
              <w:br/>
              <w:t>Zero-rated under Article 45(3), UAE VAT Law</w:t>
            </w:r>
          </w:p>
        </w:tc>
        <w:tc>
          <w:tcPr>
            <w:tcW w:type="dxa" w:w="1440"/>
            <w:shd w:val="clear" w:color="auto" w:fill="FFFFFF"/>
          </w:tcPr>
          <w:p>
            <w:r>
              <w:rPr>
                <w:sz w:val="17"/>
              </w:rPr>
              <w:t>${Contacts.Airticket_Fee_AED}</w:t>
            </w:r>
          </w:p>
        </w:tc>
        <w:tc>
          <w:tcPr>
            <w:tcW w:type="dxa" w:w="1872"/>
            <w:shd w:val="clear" w:color="auto" w:fill="FFFFFF"/>
          </w:tcPr>
          <w:p>
            <w:r>
              <w:rPr>
                <w:sz w:val="17"/>
              </w:rPr>
              <w:t>0% Zero-Rated</w:t>
            </w:r>
          </w:p>
        </w:tc>
        <w:tc>
          <w:tcPr>
            <w:tcW w:type="dxa" w:w="1008"/>
            <w:shd w:val="clear" w:color="auto" w:fill="FFFFFF"/>
          </w:tcPr>
          <w:p>
            <w:r>
              <w:rPr>
                <w:sz w:val="17"/>
              </w:rPr>
              <w:t>—</w:t>
            </w:r>
          </w:p>
        </w:tc>
      </w:tr>
      <w:tr>
        <w:tc>
          <w:tcPr>
            <w:tcW w:type="dxa" w:w="432"/>
            <w:shd w:val="clear" w:color="auto" w:fill="F7F9FC"/>
          </w:tcPr>
          <w:p>
            <w:r>
              <w:rPr>
                <w:b/>
                <w:sz w:val="17"/>
              </w:rPr>
            </w:r>
          </w:p>
        </w:tc>
        <w:tc>
          <w:tcPr>
            <w:tcW w:type="dxa" w:w="4032"/>
            <w:shd w:val="clear" w:color="auto" w:fill="F7F9FC"/>
          </w:tcPr>
          <w:p>
            <w:r>
              <w:rPr>
                <w:b/>
                <w:sz w:val="17"/>
              </w:rPr>
              <w:t>Subtotal (Package Price)</w:t>
            </w:r>
          </w:p>
        </w:tc>
        <w:tc>
          <w:tcPr>
            <w:tcW w:type="dxa" w:w="1440"/>
            <w:shd w:val="clear" w:color="auto" w:fill="F7F9FC"/>
          </w:tcPr>
          <w:p>
            <w:r>
              <w:rPr>
                <w:b/>
                <w:sz w:val="17"/>
              </w:rPr>
              <w:t>${Contacts.Package_Price_AED}</w:t>
            </w:r>
          </w:p>
        </w:tc>
        <w:tc>
          <w:tcPr>
            <w:tcW w:type="dxa" w:w="1872"/>
            <w:shd w:val="clear" w:color="auto" w:fill="F7F9FC"/>
          </w:tcPr>
          <w:p>
            <w:r>
              <w:rPr>
                <w:b/>
                <w:sz w:val="17"/>
              </w:rPr>
            </w:r>
          </w:p>
        </w:tc>
        <w:tc>
          <w:tcPr>
            <w:tcW w:type="dxa" w:w="1008"/>
            <w:shd w:val="clear" w:color="auto" w:fill="F7F9FC"/>
          </w:tcPr>
          <w:p>
            <w:r>
              <w:rPr>
                <w:b/>
                <w:sz w:val="17"/>
              </w:rPr>
              <w:t>0.00</w:t>
            </w:r>
          </w:p>
        </w:tc>
      </w:tr>
      <w:tr>
        <w:tc>
          <w:tcPr>
            <w:tcW w:type="dxa" w:w="432"/>
            <w:shd w:val="clear" w:color="auto" w:fill="FFFFFF"/>
          </w:tcPr>
          <w:p>
            <w:r>
              <w:rPr>
                <w:b/>
                <w:sz w:val="17"/>
              </w:rPr>
            </w:r>
          </w:p>
        </w:tc>
        <w:tc>
          <w:tcPr>
            <w:tcW w:type="dxa" w:w="4032"/>
            <w:shd w:val="clear" w:color="auto" w:fill="FFFFFF"/>
          </w:tcPr>
          <w:p>
            <w:r>
              <w:rPr>
                <w:b/>
                <w:sz w:val="17"/>
              </w:rPr>
              <w:t>TOTAL DUE</w:t>
            </w:r>
          </w:p>
        </w:tc>
        <w:tc>
          <w:tcPr>
            <w:tcW w:type="dxa" w:w="1440"/>
            <w:shd w:val="clear" w:color="auto" w:fill="FFFFFF"/>
          </w:tcPr>
          <w:p>
            <w:r>
              <w:rPr>
                <w:b/>
                <w:sz w:val="17"/>
              </w:rPr>
              <w:t>AED ${Contacts.Package_Price_AED}.00</w:t>
              <w:br/>
              <w:t>(Outside-UAE — Zero-Rated)</w:t>
            </w:r>
          </w:p>
        </w:tc>
        <w:tc>
          <w:tcPr>
            <w:tcW w:type="dxa" w:w="1872"/>
            <w:shd w:val="clear" w:color="auto" w:fill="FFFFFF"/>
          </w:tcPr>
          <w:p>
            <w:r>
              <w:rPr>
                <w:b/>
                <w:sz w:val="17"/>
              </w:rPr>
            </w:r>
          </w:p>
        </w:tc>
        <w:tc>
          <w:tcPr>
            <w:tcW w:type="dxa" w:w="1008"/>
            <w:shd w:val="clear" w:color="auto" w:fill="FFFFFF"/>
          </w:tcPr>
          <w:p>
            <w:r>
              <w:rPr>
                <w:b/>
                <w:sz w:val="17"/>
              </w:rPr>
            </w:r>
          </w:p>
        </w:tc>
      </w:tr>
    </w:tbl>
    <w:p/>
    <w:p>
      <w:pPr>
        <w:spacing w:after="80" w:before="0"/>
      </w:pPr>
      <w:r>
        <w:rPr>
          <w:sz w:val="19"/>
        </w:rPr>
        <w:t>5.2  Consultancy Fee — Zero-Rated Export of Services. The Client is a resident of ${Contacts.Country_of_Residence}. Subject to clauses 5.3 and 5.6 being satisfied, the Consultancy Fee of AED ${Contacts.Consultancy_Fee_AED} is zero-rated under Article 31 of the UAE VAT Executive Regulations as an export of services.</w:t>
      </w:r>
    </w:p>
    <w:p>
      <w:pPr>
        <w:spacing w:after="80" w:before="0"/>
      </w:pPr>
      <w:r>
        <w:rPr>
          <w:sz w:val="19"/>
        </w:rPr>
        <w:t>5.3  Zero-Rating Conditions. The zero-rating in clause 5.2 applies only where: (i) the Client has a place of residence outside the UAE; (ii) the Client has no place of establishment or fixed establishment in the UAE; (iii) the Client is outside the UAE at the time the services are performed; and (iv) the services are not directly related to real estate or movable assets located in the UAE. If the Client enters the UAE during the service period, the Consultancy Fee may be reassessed as standard-rated (5%) and the difference invoiced via a supplementary Tax Invoice.</w:t>
      </w:r>
    </w:p>
    <w:p>
      <w:pPr>
        <w:spacing w:after="80" w:before="0"/>
      </w:pPr>
      <w:r>
        <w:rPr>
          <w:sz w:val="19"/>
        </w:rPr>
        <w:t>5.4  Government Disbursements. The Visa Application Fee and Biometric / Embassy Appointment Fee are paid by the Service Provider on behalf of the Client to the relevant ${Contacts.Destination_Country} authorities and to the biometric service provider. These amounts are out-of-scope of VAT and are recharged at cost without mark-up. Actual amounts may vary; the Service Provider will reconcile to actual receipts in the final Tax Invoice.</w:t>
      </w:r>
    </w:p>
    <w:p>
      <w:pPr>
        <w:spacing w:after="80" w:before="0"/>
      </w:pPr>
      <w:r>
        <w:rPr>
          <w:sz w:val="19"/>
        </w:rPr>
        <w:t>5.5  International Air Ticket. Zero-rated under Article 45(3) of the UAE VAT Law as international transportation of passengers.</w:t>
      </w:r>
    </w:p>
    <w:p>
      <w:pPr>
        <w:spacing w:after="80" w:before="0"/>
      </w:pPr>
      <w:r>
        <w:rPr>
          <w:sz w:val="19"/>
        </w:rPr>
        <w:t>5.6  Documentation for Zero-Rating. Before the Service Provider issues a zero-rated Tax Invoice the Client shall provide: (a) a copy of a valid ${Contacts.Country_of_Residence} passport showing no UAE residency visa; (b) proof of foreign residential address in ${Contacts.Country_of_Residence} (utility bill, bank statement, or tenancy agreement not older than three (3) months); and (c) a signed declaration that the Client will not be physically present in the UAE during the service period.</w:t>
      </w:r>
    </w:p>
    <w:p>
      <w:pPr>
        <w:spacing w:after="80" w:before="0"/>
      </w:pPr>
      <w:r>
        <w:rPr>
          <w:sz w:val="19"/>
        </w:rPr>
        <w:t>5.7  Payment Schedule. Payment shall be made in two instalments: (a) AED ${Contacts.Initial_Payment_AED} on signing of this Agreement as initial payment; and (b) AED ${Contacts.Final_Payment_AED} on visa approval, before issuance of the air ticket. Payment shall be made by bank transfer, cash, or other agreed method. A FTA-compliant Tax Invoice will be issued for every payment. Late payment by the Client beyond 7 days of the due date may attract an administrative charge of 2% per month on the outstanding amount.</w:t>
      </w:r>
    </w:p>
    <w:p>
      <w:pPr>
        <w:spacing w:after="80" w:before="0"/>
      </w:pPr>
      <w:r>
        <w:rPr>
          <w:sz w:val="19"/>
        </w:rPr>
        <w:t>5.8  Tax Records. The Service Provider shall retain all invoices, agreements, and supporting documentation for a minimum of five (5) years in accordance with Article 78 of the UAE VAT Law.</w:t>
      </w:r>
    </w:p>
    <w:p>
      <w:pPr>
        <w:spacing w:before="200" w:after="60"/>
      </w:pPr>
      <w:r>
        <w:rPr>
          <w:b/>
          <w:color w:val="1A376C"/>
          <w:sz w:val="22"/>
        </w:rPr>
        <w:t>6.  Confidentiality and Data Protection (UAE PDPL Compliant)</w:t>
      </w:r>
    </w:p>
    <w:p>
      <w:pPr>
        <w:spacing w:after="80" w:before="0"/>
      </w:pPr>
      <w:r>
        <w:rPr>
          <w:sz w:val="19"/>
        </w:rPr>
        <w:t>6.1  Scope of Personal Data. In delivering the agreed services, the Service Provider will collect and process the following categories of personal data: full name, nationality, passport number, date of birth, contact number, email address, country of residence, financial information, and immigration history ("Personal Data").</w:t>
      </w:r>
    </w:p>
    <w:p>
      <w:pPr>
        <w:spacing w:after="80" w:before="0"/>
      </w:pPr>
      <w:r>
        <w:rPr>
          <w:sz w:val="19"/>
        </w:rPr>
        <w:t>6.2  Legal Basis &amp; Consent. Pursuant to UAE Federal Decree-Law No. 45 of 2021 on the Protection of Personal Data (PDPL), the Client explicitly consents to the collection, processing, and storage of their Personal Data for the sole purpose of delivering the immigration consultancy services described in this Agreement. By signing this Agreement, the Client provides informed, freely given, and specific consent to such processing. The Client may withdraw consent at any time in writing, subject to the Service Provider's right to retain data for legal and tax compliance purposes.</w:t>
      </w:r>
    </w:p>
    <w:p>
      <w:pPr>
        <w:spacing w:after="80" w:before="0"/>
      </w:pPr>
      <w:r>
        <w:rPr>
          <w:sz w:val="19"/>
        </w:rPr>
        <w:t>6.3  Purpose Limitation. Personal Data will be used exclusively for: (a) preparation and submission of the visa application; (b) liaison with ${Contacts.Destination_Country} Immigration, biometric providers, and airline partners; (c) compliance with UAE FTA, AML/CFT, and regulatory obligations; and (d) issuance of Tax Invoices. Personal Data shall not be used for marketing or sold to third parties.</w:t>
      </w:r>
    </w:p>
    <w:p>
      <w:pPr>
        <w:spacing w:after="80" w:before="0"/>
      </w:pPr>
      <w:r>
        <w:rPr>
          <w:sz w:val="19"/>
        </w:rPr>
        <w:t>6.4  Third-Party Disclosure. The Client acknowledges that Personal Data may be shared with the following third parties solely for the purpose of delivering the agreed services: (a) ${Contacts.Destination_Country} Immigration authorities; (b) biometric service providers; (c) airline(s) for ticket booking; (d) the UAE Federal Tax Authority (FTA) as required; and (e) the UAE Financial Intelligence Unit (FIU) if required under AML/CFT law.</w:t>
      </w:r>
    </w:p>
    <w:p>
      <w:pPr>
        <w:spacing w:after="80" w:before="0"/>
      </w:pPr>
      <w:r>
        <w:rPr>
          <w:sz w:val="19"/>
        </w:rPr>
        <w:t>6.5  Cross-Border Data Transfer. The Client acknowledges and consents to their Personal Data being transferred from the UAE to ${Contacts.Destination_Country} and, where applicable, to other countries in connection with biometric processing or airline operations, in compliance with Article 22 of the UAE PDPL.</w:t>
      </w:r>
    </w:p>
    <w:p>
      <w:pPr>
        <w:spacing w:after="80" w:before="0"/>
      </w:pPr>
      <w:r>
        <w:rPr>
          <w:sz w:val="19"/>
        </w:rPr>
        <w:t>6.6  Data Subject Rights. Under the UAE PDPL, the Client has the right to: (a) access their Personal Data held by the Service Provider; (b) request correction of inaccurate data; (c) request erasure of data no longer required (subject to legal retention obligations); (d) withdraw consent to processing; and (e) lodge a complaint with the UAE Data Office. Requests should be submitted in writing to the Service Provider.</w:t>
      </w:r>
    </w:p>
    <w:p>
      <w:pPr>
        <w:spacing w:after="80" w:before="0"/>
      </w:pPr>
      <w:r>
        <w:rPr>
          <w:sz w:val="19"/>
        </w:rPr>
        <w:t>6.7  Retention &amp; Deletion. Personal Data will be retained for the duration of the service and for a further period of five (5) years to meet UAE VAT (Article 78) and AML/CFT record-keeping requirements. After this period, Personal Data will be securely deleted or anonymised. Tax records are retained in accordance with Article 78 of the UAE VAT Law.</w:t>
      </w:r>
    </w:p>
    <w:p>
      <w:pPr>
        <w:spacing w:after="80" w:before="0"/>
      </w:pPr>
      <w:r>
        <w:rPr>
          <w:sz w:val="19"/>
        </w:rPr>
        <w:t>6.8  Security. The Service Provider shall implement appropriate technical and organisational measures to protect Personal Data against unauthorised access, loss, or disclosure. In the event of a data breach affecting the Client's Personal Data, the Service Provider shall notify the Client within 72 hours of becoming aware of the breach, as required under the UAE PDPL.</w:t>
      </w:r>
    </w:p>
    <w:p>
      <w:pPr>
        <w:spacing w:before="200" w:after="60"/>
      </w:pPr>
      <w:r>
        <w:rPr>
          <w:b/>
          <w:color w:val="1A376C"/>
          <w:sz w:val="22"/>
        </w:rPr>
        <w:t>7.  Refund Policy (Consumer Protection Compliant)</w:t>
      </w:r>
    </w:p>
    <w:p>
      <w:pPr>
        <w:spacing w:after="80" w:before="0"/>
      </w:pPr>
      <w:r>
        <w:rPr>
          <w:sz w:val="19"/>
        </w:rPr>
        <w:t>7.1  Cooling-Off Period Refund. As set out in clause 4, if the Client cancels within the Cooling-Off Period before services have commenced, a full refund is due within 14 calendar days, less any non-recoverable third-party costs already incurred.</w:t>
      </w:r>
    </w:p>
    <w:p>
      <w:pPr>
        <w:spacing w:after="80" w:before="0"/>
      </w:pPr>
      <w:r>
        <w:rPr>
          <w:sz w:val="19"/>
        </w:rPr>
        <w:t>7.2  Pro-Rata Refund After Service Commencement. If the Client cancels after services have commenced, the following pro-rata schedule applies based on the stage reached: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76C"/>
          </w:tcPr>
          <w:p>
            <w:r>
              <w:rPr>
                <w:b/>
                <w:color w:val="FFFFFF"/>
                <w:sz w:val="17"/>
              </w:rPr>
              <w:t>Stage</w:t>
            </w:r>
          </w:p>
        </w:tc>
        <w:tc>
          <w:tcPr>
            <w:tcW w:type="dxa" w:w="3135"/>
            <w:shd w:val="clear" w:color="auto" w:fill="1A376C"/>
          </w:tcPr>
          <w:p>
            <w:r>
              <w:rPr>
                <w:b/>
                <w:color w:val="FFFFFF"/>
                <w:sz w:val="17"/>
              </w:rPr>
              <w:t>Milestone</w:t>
            </w:r>
          </w:p>
        </w:tc>
        <w:tc>
          <w:tcPr>
            <w:tcW w:type="dxa" w:w="3135"/>
            <w:shd w:val="clear" w:color="auto" w:fill="1A376C"/>
          </w:tcPr>
          <w:p>
            <w:r>
              <w:rPr>
                <w:b/>
                <w:color w:val="FFFFFF"/>
                <w:sz w:val="17"/>
              </w:rPr>
              <w:t>Refund Entitlement</w:t>
            </w:r>
          </w:p>
        </w:tc>
      </w:tr>
      <w:tr>
        <w:tc>
          <w:tcPr>
            <w:tcW w:type="dxa" w:w="3135"/>
            <w:shd w:val="clear" w:color="auto" w:fill="F7F9FC"/>
          </w:tcPr>
          <w:p>
            <w:r>
              <w:rPr>
                <w:sz w:val="17"/>
              </w:rPr>
              <w:t>Stage 1</w:t>
            </w:r>
          </w:p>
        </w:tc>
        <w:tc>
          <w:tcPr>
            <w:tcW w:type="dxa" w:w="3135"/>
            <w:shd w:val="clear" w:color="auto" w:fill="F7F9FC"/>
          </w:tcPr>
          <w:p>
            <w:r>
              <w:rPr>
                <w:sz w:val="17"/>
              </w:rPr>
              <w:t>Eligibility assessment completed</w:t>
            </w:r>
          </w:p>
        </w:tc>
        <w:tc>
          <w:tcPr>
            <w:tcW w:type="dxa" w:w="3135"/>
            <w:shd w:val="clear" w:color="auto" w:fill="F7F9FC"/>
          </w:tcPr>
          <w:p>
            <w:r>
              <w:rPr>
                <w:sz w:val="17"/>
              </w:rPr>
              <w:t>10% of Consultancy Fee non-refundable</w:t>
            </w:r>
          </w:p>
        </w:tc>
      </w:tr>
      <w:tr>
        <w:tc>
          <w:tcPr>
            <w:tcW w:type="dxa" w:w="3135"/>
            <w:shd w:val="clear" w:color="auto" w:fill="FFFFFF"/>
          </w:tcPr>
          <w:p>
            <w:r>
              <w:rPr>
                <w:sz w:val="17"/>
              </w:rPr>
              <w:t>Stage 2</w:t>
            </w:r>
          </w:p>
        </w:tc>
        <w:tc>
          <w:tcPr>
            <w:tcW w:type="dxa" w:w="3135"/>
            <w:shd w:val="clear" w:color="auto" w:fill="FFFFFF"/>
          </w:tcPr>
          <w:p>
            <w:r>
              <w:rPr>
                <w:sz w:val="17"/>
              </w:rPr>
              <w:t>Document review &amp; application prepared</w:t>
            </w:r>
          </w:p>
        </w:tc>
        <w:tc>
          <w:tcPr>
            <w:tcW w:type="dxa" w:w="3135"/>
            <w:shd w:val="clear" w:color="auto" w:fill="FFFFFF"/>
          </w:tcPr>
          <w:p>
            <w:r>
              <w:rPr>
                <w:sz w:val="17"/>
              </w:rPr>
              <w:t>40% of Consultancy Fee non-refundable</w:t>
            </w:r>
          </w:p>
        </w:tc>
      </w:tr>
      <w:tr>
        <w:tc>
          <w:tcPr>
            <w:tcW w:type="dxa" w:w="3135"/>
            <w:shd w:val="clear" w:color="auto" w:fill="F7F9FC"/>
          </w:tcPr>
          <w:p>
            <w:r>
              <w:rPr>
                <w:sz w:val="17"/>
              </w:rPr>
              <w:t>Stage 3</w:t>
            </w:r>
          </w:p>
        </w:tc>
        <w:tc>
          <w:tcPr>
            <w:tcW w:type="dxa" w:w="3135"/>
            <w:shd w:val="clear" w:color="auto" w:fill="F7F9FC"/>
          </w:tcPr>
          <w:p>
            <w:r>
              <w:rPr>
                <w:sz w:val="17"/>
              </w:rPr>
              <w:t>Application submitted to Immigration authority</w:t>
            </w:r>
          </w:p>
        </w:tc>
        <w:tc>
          <w:tcPr>
            <w:tcW w:type="dxa" w:w="3135"/>
            <w:shd w:val="clear" w:color="auto" w:fill="F7F9FC"/>
          </w:tcPr>
          <w:p>
            <w:r>
              <w:rPr>
                <w:sz w:val="17"/>
              </w:rPr>
              <w:t>80% of Consultancy Fee non-refundable</w:t>
            </w:r>
          </w:p>
        </w:tc>
      </w:tr>
      <w:tr>
        <w:tc>
          <w:tcPr>
            <w:tcW w:type="dxa" w:w="3135"/>
            <w:shd w:val="clear" w:color="auto" w:fill="FFFFFF"/>
          </w:tcPr>
          <w:p>
            <w:r>
              <w:rPr>
                <w:sz w:val="17"/>
              </w:rPr>
              <w:t>Stage 4</w:t>
            </w:r>
          </w:p>
        </w:tc>
        <w:tc>
          <w:tcPr>
            <w:tcW w:type="dxa" w:w="3135"/>
            <w:shd w:val="clear" w:color="auto" w:fill="FFFFFF"/>
          </w:tcPr>
          <w:p>
            <w:r>
              <w:rPr>
                <w:sz w:val="17"/>
              </w:rPr>
              <w:t>Visa decision received (approved or refused)</w:t>
            </w:r>
          </w:p>
        </w:tc>
        <w:tc>
          <w:tcPr>
            <w:tcW w:type="dxa" w:w="3135"/>
            <w:shd w:val="clear" w:color="auto" w:fill="FFFFFF"/>
          </w:tcPr>
          <w:p>
            <w:r>
              <w:rPr>
                <w:sz w:val="17"/>
              </w:rPr>
              <w:t>100% of Consultancy Fee non-refundable</w:t>
            </w:r>
          </w:p>
        </w:tc>
      </w:tr>
    </w:tbl>
    <w:p/>
    <w:p>
      <w:pPr>
        <w:spacing w:after="80" w:before="0"/>
      </w:pPr>
      <w:r>
        <w:rPr>
          <w:sz w:val="19"/>
        </w:rPr>
        <w:t>7.3  Defect Notification. Pursuant to UAE Federal Law No. 15 of 2020 on Consumer Protection, the Client must notify the Service Provider in writing of any deficiency in the services delivered within thirty (30) calendar days of discovering such deficiency. Failure to notify within this period may limit the Client's right to a remedy.</w:t>
      </w:r>
    </w:p>
    <w:p>
      <w:pPr>
        <w:spacing w:after="80" w:before="0"/>
      </w:pPr>
      <w:r>
        <w:rPr>
          <w:sz w:val="19"/>
        </w:rPr>
        <w:t>7.4  Right to Cure. Upon receiving a defect notification under clause 7.3, the Service Provider shall have fourteen (14) calendar days to remedy the deficiency at no additional cost before a refund obligation arises.</w:t>
      </w:r>
    </w:p>
    <w:p>
      <w:pPr>
        <w:spacing w:after="80" w:before="0"/>
      </w:pPr>
      <w:r>
        <w:rPr>
          <w:sz w:val="19"/>
        </w:rPr>
        <w:t>7.5  Visa Rejection Refund Review. In the event of a visa rejection by ${Contacts.Destination_Country} Immigration due to no fault of the Client, the Service Provider will review refund eligibility on a case-by-case basis within 21 days of the rejection notification.</w:t>
      </w:r>
    </w:p>
    <w:p>
      <w:pPr>
        <w:spacing w:after="80" w:before="0"/>
      </w:pPr>
      <w:r>
        <w:rPr>
          <w:sz w:val="19"/>
        </w:rPr>
        <w:t>7.6  Non-Refundable Items. Government fees, embassy/biometric charges, and air ticket charges are non-refundable once paid to the relevant authority or airline, as these are third-party costs outside the Service Provider's control.</w:t>
      </w:r>
    </w:p>
    <w:p>
      <w:pPr>
        <w:spacing w:after="80" w:before="0"/>
      </w:pPr>
      <w:r>
        <w:rPr>
          <w:sz w:val="19"/>
        </w:rPr>
        <w:t>7.7  VAT on Refunds. Where any refund is due, applicable VAT previously charged shall be adjusted via a Credit Note compliant with Article 62 of the UAE VAT Executive Regulations.</w:t>
      </w:r>
    </w:p>
    <w:p>
      <w:pPr>
        <w:spacing w:before="200" w:after="60"/>
      </w:pPr>
      <w:r>
        <w:rPr>
          <w:b/>
          <w:color w:val="1A376C"/>
          <w:sz w:val="22"/>
        </w:rPr>
        <w:t>8.  Disclaimer, Limitation of Liability and Misrepresentation</w:t>
      </w:r>
    </w:p>
    <w:p>
      <w:pPr>
        <w:spacing w:after="80" w:before="0"/>
      </w:pPr>
      <w:r>
        <w:rPr>
          <w:sz w:val="19"/>
        </w:rPr>
        <w:t>8.1  Consultant Role Only. The Service Provider acts solely as a private immigration consultant and facilitator. All final decisions regarding visa approval, refusal, or revocation rest solely with ${Contacts.Destination_Country} Immigration authorities. The Service Provider makes no guarantee of any immigration outcome.</w:t>
      </w:r>
    </w:p>
    <w:p>
      <w:pPr>
        <w:spacing w:after="80" w:before="0"/>
      </w:pPr>
      <w:r>
        <w:rPr>
          <w:sz w:val="19"/>
        </w:rPr>
        <w:t>8.2  Exclusions from Liability. The Service Provider shall not be liable for delays, refusals, or revocations caused by: (a) ${Contacts.Destination_Country} Immigration processing times; (b) incomplete or inaccurate client documentation; (c) changes in ${Contacts.Destination_Country} immigration policy; (d) third-party delays (airline, embassy, biometric provider); or (e) events of force majeure as defined in clause 10.</w:t>
      </w:r>
    </w:p>
    <w:p>
      <w:pPr>
        <w:spacing w:after="80" w:before="0"/>
      </w:pPr>
      <w:r>
        <w:rPr>
          <w:sz w:val="19"/>
        </w:rPr>
        <w:t>8.3  Client Misrepresentation. If it is found that the Client has provided false, misleading, fraudulent, or materially incomplete information or documentation at any stage, the Service Provider reserves the right to immediately terminate this Agreement, retain all fees for work completed to date, and report the matter to the relevant authorities as required by UAE law. The Service Provider shall bear no liability whatsoever for any visa refusal, ban, or legal consequence arising from client misrepresentation.</w:t>
      </w:r>
    </w:p>
    <w:p>
      <w:pPr>
        <w:spacing w:after="80" w:before="0"/>
      </w:pPr>
      <w:r>
        <w:rPr>
          <w:sz w:val="19"/>
        </w:rPr>
        <w:t>8.4  Liability Cap. The Service Provider's total financial liability to the Client shall not exceed the Consultancy Fee actually paid by the Client (i.e. AED ${Contacts.Consultancy_Fee_AED}), excluding government disbursements and air ticket charges. Nothing in this clause limits liability for fraud or wilful misconduct by the Service Provider.</w:t>
      </w:r>
    </w:p>
    <w:p>
      <w:pPr>
        <w:spacing w:before="200" w:after="60"/>
      </w:pPr>
      <w:r>
        <w:rPr>
          <w:b/>
          <w:color w:val="1A376C"/>
          <w:sz w:val="22"/>
        </w:rPr>
        <w:t>9.  Termination</w:t>
      </w:r>
    </w:p>
    <w:p>
      <w:pPr>
        <w:spacing w:after="80" w:before="0"/>
      </w:pPr>
      <w:r>
        <w:rPr>
          <w:sz w:val="19"/>
        </w:rPr>
        <w:t>9.1  Termination by Either Party. Either party may terminate this Agreement by providing seven (7) calendar days written notice. Upon termination, the Client shall pay for all services rendered up to the termination date, calculated on the pro-rata basis in clause 7.2.</w:t>
      </w:r>
    </w:p>
    <w:p>
      <w:pPr>
        <w:spacing w:after="80" w:before="0"/>
      </w:pPr>
      <w:r>
        <w:rPr>
          <w:sz w:val="19"/>
        </w:rPr>
        <w:t>9.2  Immediate Termination by Service Provider. The Service Provider may terminate this Agreement immediately and without notice if: (a) the Client provides false or fraudulent information (clause 8.3); (b) the Client breaches AML/CFT obligations (clause 11); (c) the Client fails to pay any amount due for more than 21 days after the due date; or (d) continuing the service would expose the Service Provider to legal or regulatory risk.</w:t>
      </w:r>
    </w:p>
    <w:p>
      <w:pPr>
        <w:spacing w:after="80" w:before="0"/>
      </w:pPr>
      <w:r>
        <w:rPr>
          <w:sz w:val="19"/>
        </w:rPr>
        <w:t>9.3  Return of Documents. The Service Provider shall return all original Client documents within fourteen (14) calendar days of termination. A final Tax Invoice / Credit Note shall be issued to reconcile the financial position.</w:t>
      </w:r>
    </w:p>
    <w:p>
      <w:pPr>
        <w:spacing w:before="200" w:after="60"/>
      </w:pPr>
      <w:r>
        <w:rPr>
          <w:b/>
          <w:color w:val="1A376C"/>
          <w:sz w:val="22"/>
        </w:rPr>
        <w:t>10.  Force Majeure</w:t>
      </w:r>
    </w:p>
    <w:p>
      <w:pPr>
        <w:spacing w:after="80" w:before="0"/>
      </w:pPr>
      <w:r>
        <w:rPr>
          <w:sz w:val="19"/>
        </w:rPr>
        <w:t>10.1  Neither party shall be liable for any failure or delay in performing their obligations under this Agreement where such failure or delay results from circumstances beyond that party's reasonable control, including but not limited to: acts of God; war; civil unrest; terrorism; pandemic or epidemic declared by competent authority; changes in UAE or ${Contacts.Destination_Country} immigration law or policy; government-imposed travel restrictions; airline disruptions; embassy or biometric centre closures; or failure of third-party systems (including Immigration New Zealand digital platforms) ("Force Majeure Event").</w:t>
      </w:r>
    </w:p>
    <w:p>
      <w:pPr>
        <w:spacing w:after="80" w:before="0"/>
      </w:pPr>
      <w:r>
        <w:rPr>
          <w:sz w:val="19"/>
        </w:rPr>
        <w:t>10.2  The affected party shall notify the other party in writing within seven (7) days of the Force Majeure Event arising. Obligations under this Agreement shall be suspended for the duration of the Force Majeure Event. If the Force Majeure Event continues for more than sixty (60) days, either party may terminate this Agreement on fourteen (14) days written notice, and the pro-rata refund provisions in clause 7.2 shall apply.</w:t>
      </w:r>
    </w:p>
    <w:p>
      <w:pPr>
        <w:spacing w:before="200" w:after="60"/>
      </w:pPr>
      <w:r>
        <w:rPr>
          <w:b/>
          <w:color w:val="1A376C"/>
          <w:sz w:val="22"/>
        </w:rPr>
        <w:t>11.  Anti-Money Laundering &amp; Counter-Terrorism Financing (AML/CFT)</w:t>
      </w:r>
    </w:p>
    <w:p>
      <w:pPr>
        <w:spacing w:after="80" w:before="0"/>
      </w:pPr>
      <w:r>
        <w:rPr>
          <w:sz w:val="19"/>
        </w:rPr>
        <w:t>11.1  Regulatory Compliance. The Service Provider operates in compliance with UAE Federal Decree-Law No. 20 of 2018 on Anti-Money Laundering and Combating the Financing of Terrorism and Illegal Organisations and Cabinet Decision No. 10 of 2019. The Service Provider is registered on the UAE Financial Intelligence Unit (FIU) goAML platform and conducts Customer Due Diligence (CDD) on all clients as required.</w:t>
      </w:r>
    </w:p>
    <w:p>
      <w:pPr>
        <w:spacing w:after="80" w:before="0"/>
      </w:pPr>
      <w:r>
        <w:rPr>
          <w:sz w:val="19"/>
        </w:rPr>
        <w:t>11.2  Source of Funds Declaration. By signing this Agreement, the Client declares that: (a) all funds used to pay fees under this Agreement are derived from legitimate and lawful sources; (b) the Client is not subject to any UAE or international sanctions; and (c) the Client is acting on their own behalf and not as an agent for an undisclosed third party.</w:t>
      </w:r>
    </w:p>
    <w:p>
      <w:pPr>
        <w:spacing w:after="80" w:before="0"/>
      </w:pPr>
      <w:r>
        <w:rPr>
          <w:sz w:val="19"/>
        </w:rPr>
        <w:t>11.3  Right to Report. The Service Provider reserves the right — and is legally obligated where required — to file a Suspicious Transaction Report (STR) with the UAE Financial Intelligence Unit if it has reasonable grounds to suspect any AML/CFT concerns. The Service Provider is prohibited by law from disclosing ("tipping off") to the Client that an STR has been filed.</w:t>
      </w:r>
    </w:p>
    <w:p>
      <w:pPr>
        <w:spacing w:after="80" w:before="0"/>
      </w:pPr>
      <w:r>
        <w:rPr>
          <w:sz w:val="19"/>
        </w:rPr>
        <w:t>11.4  Right to Refuse / Terminate. The Service Provider reserves the right to refuse to commence, or to immediately terminate, services if AML/CFT due diligence requirements cannot be satisfied, without incurring any liability to the Client.</w:t>
      </w:r>
    </w:p>
    <w:p>
      <w:pPr>
        <w:spacing w:before="200" w:after="60"/>
      </w:pPr>
      <w:r>
        <w:rPr>
          <w:b/>
          <w:color w:val="1A376C"/>
          <w:sz w:val="22"/>
        </w:rPr>
        <w:t>12.  Governing Law &amp; Dispute Resolution</w:t>
      </w:r>
    </w:p>
    <w:p>
      <w:pPr>
        <w:spacing w:after="80" w:before="0"/>
      </w:pPr>
      <w:r>
        <w:rPr>
          <w:sz w:val="19"/>
        </w:rPr>
        <w:t>12.1  This Agreement shall be governed by and construed in accordance with the laws of the United Arab Emirates, including UAE Federal Decree-Law No. 8 of 2017 on VAT, Federal Law No. 15 of 2020 on Consumer Protection, Federal Decree-Law No. 45 of 2021 on Personal Data Protection, Federal Decree-Law No. 20 of 2018 on AML/CFT, and Federal Decree-Law No. 29 of 2021 on Entry and Residence of Foreigners.</w:t>
      </w:r>
    </w:p>
    <w:p>
      <w:pPr>
        <w:spacing w:after="80" w:before="0"/>
      </w:pPr>
      <w:r>
        <w:rPr>
          <w:sz w:val="19"/>
        </w:rPr>
        <w:t>12.2  Amicable Resolution. Any dispute arising from this Agreement shall first be raised in writing and the parties shall use best efforts to resolve the matter amicably within thirty (30) calendar days of the written notice.</w:t>
      </w:r>
    </w:p>
    <w:p>
      <w:pPr>
        <w:spacing w:after="80" w:before="0"/>
      </w:pPr>
      <w:r>
        <w:rPr>
          <w:sz w:val="19"/>
        </w:rPr>
        <w:t>12.3  Mediation. If the dispute is not resolved amicably within the period in clause 12.2, the parties agree to refer the dispute to a mutually agreed mediator or the Sharjah Centre for Commercial Arbitration (SCCA) for mediation before commencing litigation.</w:t>
      </w:r>
    </w:p>
    <w:p>
      <w:pPr>
        <w:spacing w:after="80" w:before="0"/>
      </w:pPr>
      <w:r>
        <w:rPr>
          <w:sz w:val="19"/>
        </w:rPr>
        <w:t>12.4  Litigation. If mediation fails, disputes shall be referred to the competent courts of Sharjah, UAE, which shall have exclusive jurisdiction.</w:t>
      </w:r>
    </w:p>
    <w:p>
      <w:pPr>
        <w:spacing w:before="200" w:after="60"/>
      </w:pPr>
      <w:r>
        <w:rPr>
          <w:b/>
          <w:color w:val="1A376C"/>
          <w:sz w:val="22"/>
        </w:rPr>
        <w:t>13.  Entire Agreement &amp; Severability</w:t>
      </w:r>
    </w:p>
    <w:p>
      <w:pPr>
        <w:spacing w:after="80" w:before="0"/>
      </w:pPr>
      <w:r>
        <w:rPr>
          <w:sz w:val="19"/>
        </w:rPr>
        <w:t>13.1  This Agreement constitutes the entire understanding between the parties and supersedes all prior discussions, representations, or agreements. Any amendments must be made in writing and signed by both parties.</w:t>
      </w:r>
    </w:p>
    <w:p>
      <w:pPr>
        <w:spacing w:after="80" w:before="0"/>
      </w:pPr>
      <w:r>
        <w:rPr>
          <w:sz w:val="19"/>
        </w:rPr>
        <w:t>13.2  If any provision of this Agreement is found to be invalid, illegal, or unenforceable under UAE law, the remaining provisions shall continue in full force and effect.</w:t>
      </w:r>
    </w:p>
    <w:p>
      <w:pPr>
        <w:spacing w:after="80" w:before="0"/>
      </w:pPr>
      <w:r>
        <w:rPr>
          <w:sz w:val="19"/>
        </w:rPr>
        <w:t>13.3  Any provision of this Agreement that attempts to exempt the Service Provider from obligations imposed by UAE Federal Law No. 15 of 2020 on Consumer Protection is void to the extent of such conflict.</w:t>
      </w:r>
    </w:p>
    <w:p>
      <w:pPr>
        <w:pBdr>
          <w:bottom w:val="single" w:sz="4" w:space="1" w:color="1A376C"/>
        </w:pBdr>
        <w:spacing w:after="120" w:before="120"/>
      </w:pPr>
    </w:p>
    <w:p>
      <w:pPr>
        <w:spacing w:before="200" w:after="60"/>
      </w:pPr>
      <w:r>
        <w:rPr>
          <w:b/>
          <w:color w:val="1A376C"/>
          <w:sz w:val="22"/>
        </w:rPr>
        <w:t>SIGNATURES</w:t>
      </w:r>
    </w:p>
    <w:tbl>
      <w:tblPr>
        <w:tblW w:type="auto" w:w="0"/>
        <w:jc w:val="center"/>
        <w:tblLook w:firstColumn="1" w:firstRow="1" w:lastColumn="0" w:lastRow="0" w:noHBand="0" w:noVBand="1" w:val="04A0"/>
      </w:tblPr>
      <w:tblGrid>
        <w:gridCol w:w="4703"/>
        <w:gridCol w:w="4703"/>
      </w:tblGrid>
      <w:tr>
        <w:tc>
          <w:tcPr>
            <w:tcW w:type="dxa" w:w="4703"/>
            <w:shd w:val="clear" w:color="auto" w:fill="EBF0FA"/>
          </w:tcPr>
          <w:p>
            <w:r>
              <w:rPr>
                <w:b/>
                <w:color w:val="1A376C"/>
                <w:sz w:val="20"/>
              </w:rPr>
              <w:t>SERVICE PROVIDER</w:t>
            </w:r>
          </w:p>
          <w:p>
            <w:r>
              <w:rPr>
                <w:sz w:val="18"/>
              </w:rPr>
              <w:t>UPALI IMMIGRATION SERVICES</w:t>
            </w:r>
          </w:p>
          <w:p>
            <w:r>
              <w:rPr>
                <w:sz w:val="18"/>
              </w:rPr>
              <w:t>Licence No. 2646027.01  |  TRN: 105425790000001</w:t>
            </w:r>
          </w:p>
          <w:p>
            <w:r>
              <w:rPr>
                <w:sz w:val="18"/>
              </w:rPr>
            </w:r>
          </w:p>
          <w:p>
            <w:r>
              <w:rPr>
                <w:sz w:val="18"/>
              </w:rPr>
              <w:t>Authorised Signature &amp; Stamp:</w:t>
            </w:r>
          </w:p>
          <w:p>
            <w:r>
              <w:rPr>
                <w:sz w:val="18"/>
              </w:rPr>
            </w:r>
          </w:p>
          <w:p>
            <w:r>
              <w:rPr>
                <w:sz w:val="18"/>
              </w:rPr>
              <w:t>_____________________________________</w:t>
            </w:r>
          </w:p>
          <w:p>
            <w:r>
              <w:rPr>
                <w:sz w:val="18"/>
              </w:rPr>
            </w:r>
          </w:p>
          <w:p>
            <w:r>
              <w:rPr>
                <w:sz w:val="18"/>
              </w:rPr>
              <w:t>Upali Dewage</w:t>
            </w:r>
          </w:p>
          <w:p>
            <w:r>
              <w:rPr>
                <w:sz w:val="18"/>
              </w:rPr>
              <w:t>Managing Director</w:t>
            </w:r>
          </w:p>
          <w:p>
            <w:r>
              <w:rPr>
                <w:sz w:val="18"/>
              </w:rPr>
              <w:t>Date: ${System.Today}</w:t>
            </w:r>
          </w:p>
        </w:tc>
        <w:tc>
          <w:tcPr>
            <w:tcW w:type="dxa" w:w="4703"/>
            <w:shd w:val="clear" w:color="auto" w:fill="F7F9FC"/>
          </w:tcPr>
          <w:p>
            <w:r>
              <w:rPr>
                <w:b/>
                <w:color w:val="1A376C"/>
                <w:sz w:val="20"/>
              </w:rPr>
              <w:t>CLIENT</w:t>
            </w:r>
          </w:p>
          <w:p>
            <w:r>
              <w:rPr>
                <w:sz w:val="18"/>
              </w:rPr>
              <w:t>Full Name:  ${Contacts.First_Name} ${Contacts.Last_Name}</w:t>
            </w:r>
          </w:p>
          <w:p>
            <w:r>
              <w:rPr>
                <w:sz w:val="18"/>
              </w:rPr>
              <w:t>Passport No.:  ${Contacts.Passport_Number}</w:t>
            </w:r>
          </w:p>
          <w:p>
            <w:r>
              <w:rPr>
                <w:sz w:val="18"/>
              </w:rPr>
              <w:t>Nationality:  ${Contacts.Nationality}</w:t>
            </w:r>
          </w:p>
          <w:p>
            <w:r>
              <w:rPr>
                <w:sz w:val="18"/>
              </w:rPr>
            </w:r>
          </w:p>
          <w:p>
            <w:r>
              <w:rPr>
                <w:sz w:val="18"/>
              </w:rPr>
              <w:t>Authorised Signature:</w:t>
            </w:r>
          </w:p>
          <w:p>
            <w:r>
              <w:rPr>
                <w:sz w:val="18"/>
              </w:rPr>
            </w:r>
          </w:p>
          <w:p>
            <w:r>
              <w:rPr>
                <w:sz w:val="18"/>
              </w:rPr>
              <w:t>_____________________________________</w:t>
            </w:r>
          </w:p>
          <w:p>
            <w:r>
              <w:rPr>
                <w:sz w:val="18"/>
              </w:rPr>
            </w:r>
          </w:p>
          <w:p>
            <w:r>
              <w:rPr>
                <w:sz w:val="18"/>
              </w:rPr>
              <w:t>Date: _______________________</w:t>
            </w:r>
          </w:p>
          <w:p>
            <w:r>
              <w:rPr>
                <w:sz w:val="18"/>
              </w:rPr>
            </w:r>
          </w:p>
          <w:p>
            <w:r>
              <w:rPr>
                <w:sz w:val="18"/>
              </w:rPr>
              <w:t>Source-of-Funds Declaration:</w:t>
            </w:r>
          </w:p>
          <w:p>
            <w:r>
              <w:rPr>
                <w:sz w:val="18"/>
              </w:rPr>
              <w:t>I confirm all funds paid are from a lawful source.</w:t>
            </w:r>
          </w:p>
          <w:p>
            <w:r>
              <w:rPr>
                <w:sz w:val="18"/>
              </w:rPr>
            </w:r>
          </w:p>
          <w:p>
            <w:r>
              <w:rPr>
                <w:sz w:val="18"/>
              </w:rPr>
              <w:t>Client Initials: _______</w:t>
            </w:r>
          </w:p>
        </w:tc>
      </w:tr>
    </w:tbl>
    <w:p/>
    <w:p>
      <w:pPr>
        <w:pBdr>
          <w:bottom w:val="single" w:sz="4" w:space="1" w:color="1A376C"/>
        </w:pBdr>
        <w:spacing w:after="120" w:before="120"/>
      </w:pPr>
    </w:p>
    <w:p>
      <w:pPr>
        <w:spacing w:before="200" w:after="60"/>
      </w:pPr>
      <w:r>
        <w:rPr>
          <w:b/>
          <w:color w:val="1A376C"/>
          <w:sz w:val="22"/>
        </w:rPr>
        <w:t>Schedule A — Applicable UAE Legislation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76C"/>
          </w:tcPr>
          <w:p>
            <w:r>
              <w:rPr>
                <w:b/>
                <w:color w:val="FFFFFF"/>
                <w:sz w:val="17"/>
              </w:rPr>
              <w:t>Law / Decree</w:t>
            </w:r>
          </w:p>
        </w:tc>
        <w:tc>
          <w:tcPr>
            <w:tcW w:type="dxa" w:w="4703"/>
            <w:shd w:val="clear" w:color="auto" w:fill="1A376C"/>
          </w:tcPr>
          <w:p>
            <w:r>
              <w:rPr>
                <w:b/>
                <w:color w:val="FFFFFF"/>
                <w:sz w:val="17"/>
              </w:rPr>
              <w:t>Subject Matter</w:t>
            </w:r>
          </w:p>
        </w:tc>
      </w:tr>
      <w:tr>
        <w:tc>
          <w:tcPr>
            <w:tcW w:type="dxa" w:w="4703"/>
            <w:shd w:val="clear" w:color="auto" w:fill="F7F9FC"/>
          </w:tcPr>
          <w:p>
            <w:r>
              <w:rPr>
                <w:sz w:val="17"/>
              </w:rPr>
              <w:t>Federal Decree-Law No. 29 of 2021</w:t>
            </w:r>
          </w:p>
        </w:tc>
        <w:tc>
          <w:tcPr>
            <w:tcW w:type="dxa" w:w="4703"/>
            <w:shd w:val="clear" w:color="auto" w:fill="F7F9FC"/>
          </w:tcPr>
          <w:p>
            <w:r>
              <w:rPr>
                <w:sz w:val="17"/>
              </w:rPr>
              <w:t>Entry and Residence of Foreigners</w:t>
            </w:r>
          </w:p>
        </w:tc>
      </w:tr>
      <w:tr>
        <w:tc>
          <w:tcPr>
            <w:tcW w:type="dxa" w:w="4703"/>
            <w:shd w:val="clear" w:color="auto" w:fill="FFFFFF"/>
          </w:tcPr>
          <w:p>
            <w:r>
              <w:rPr>
                <w:sz w:val="17"/>
              </w:rPr>
              <w:t>Cabinet Resolution No. 65 of 2022</w:t>
            </w:r>
          </w:p>
        </w:tc>
        <w:tc>
          <w:tcPr>
            <w:tcW w:type="dxa" w:w="4703"/>
            <w:shd w:val="clear" w:color="auto" w:fill="FFFFFF"/>
          </w:tcPr>
          <w:p>
            <w:r>
              <w:rPr>
                <w:sz w:val="17"/>
              </w:rPr>
              <w:t>Executive Regulations — Entry and Residence of Foreigners</w:t>
            </w:r>
          </w:p>
        </w:tc>
      </w:tr>
      <w:tr>
        <w:tc>
          <w:tcPr>
            <w:tcW w:type="dxa" w:w="4703"/>
            <w:shd w:val="clear" w:color="auto" w:fill="F7F9FC"/>
          </w:tcPr>
          <w:p>
            <w:r>
              <w:rPr>
                <w:sz w:val="17"/>
              </w:rPr>
              <w:t>Federal Decree-Law No. 8 of 2017</w:t>
            </w:r>
          </w:p>
        </w:tc>
        <w:tc>
          <w:tcPr>
            <w:tcW w:type="dxa" w:w="4703"/>
            <w:shd w:val="clear" w:color="auto" w:fill="F7F9FC"/>
          </w:tcPr>
          <w:p>
            <w:r>
              <w:rPr>
                <w:sz w:val="17"/>
              </w:rPr>
              <w:t>Value Added Tax Law</w:t>
            </w:r>
          </w:p>
        </w:tc>
      </w:tr>
      <w:tr>
        <w:tc>
          <w:tcPr>
            <w:tcW w:type="dxa" w:w="4703"/>
            <w:shd w:val="clear" w:color="auto" w:fill="FFFFFF"/>
          </w:tcPr>
          <w:p>
            <w:r>
              <w:rPr>
                <w:sz w:val="17"/>
              </w:rPr>
              <w:t>Federal Law No. 15 of 2020</w:t>
            </w:r>
          </w:p>
        </w:tc>
        <w:tc>
          <w:tcPr>
            <w:tcW w:type="dxa" w:w="4703"/>
            <w:shd w:val="clear" w:color="auto" w:fill="FFFFFF"/>
          </w:tcPr>
          <w:p>
            <w:r>
              <w:rPr>
                <w:sz w:val="17"/>
              </w:rPr>
              <w:t>Consumer Protection</w:t>
            </w:r>
          </w:p>
        </w:tc>
      </w:tr>
      <w:tr>
        <w:tc>
          <w:tcPr>
            <w:tcW w:type="dxa" w:w="4703"/>
            <w:shd w:val="clear" w:color="auto" w:fill="F7F9FC"/>
          </w:tcPr>
          <w:p>
            <w:r>
              <w:rPr>
                <w:sz w:val="17"/>
              </w:rPr>
              <w:t>Cabinet Decision No. 66 of 2023</w:t>
            </w:r>
          </w:p>
        </w:tc>
        <w:tc>
          <w:tcPr>
            <w:tcW w:type="dxa" w:w="4703"/>
            <w:shd w:val="clear" w:color="auto" w:fill="F7F9FC"/>
          </w:tcPr>
          <w:p>
            <w:r>
              <w:rPr>
                <w:sz w:val="17"/>
              </w:rPr>
              <w:t>Executive Regulations — Consumer Protection</w:t>
            </w:r>
          </w:p>
        </w:tc>
      </w:tr>
      <w:tr>
        <w:tc>
          <w:tcPr>
            <w:tcW w:type="dxa" w:w="4703"/>
            <w:shd w:val="clear" w:color="auto" w:fill="FFFFFF"/>
          </w:tcPr>
          <w:p>
            <w:r>
              <w:rPr>
                <w:sz w:val="17"/>
              </w:rPr>
              <w:t>Federal Decree-Law No. 45 of 2021</w:t>
            </w:r>
          </w:p>
        </w:tc>
        <w:tc>
          <w:tcPr>
            <w:tcW w:type="dxa" w:w="4703"/>
            <w:shd w:val="clear" w:color="auto" w:fill="FFFFFF"/>
          </w:tcPr>
          <w:p>
            <w:r>
              <w:rPr>
                <w:sz w:val="17"/>
              </w:rPr>
              <w:t>Protection of Personal Data (PDPL)</w:t>
            </w:r>
          </w:p>
        </w:tc>
      </w:tr>
      <w:tr>
        <w:tc>
          <w:tcPr>
            <w:tcW w:type="dxa" w:w="4703"/>
            <w:shd w:val="clear" w:color="auto" w:fill="F7F9FC"/>
          </w:tcPr>
          <w:p>
            <w:r>
              <w:rPr>
                <w:sz w:val="17"/>
              </w:rPr>
              <w:t>Federal Decree-Law No. 20 of 2018</w:t>
            </w:r>
          </w:p>
        </w:tc>
        <w:tc>
          <w:tcPr>
            <w:tcW w:type="dxa" w:w="4703"/>
            <w:shd w:val="clear" w:color="auto" w:fill="F7F9FC"/>
          </w:tcPr>
          <w:p>
            <w:r>
              <w:rPr>
                <w:sz w:val="17"/>
              </w:rPr>
              <w:t>Anti-Money Laundering &amp; Combating Financing of Terrorism</w:t>
            </w:r>
          </w:p>
        </w:tc>
      </w:tr>
      <w:tr>
        <w:tc>
          <w:tcPr>
            <w:tcW w:type="dxa" w:w="4703"/>
            <w:shd w:val="clear" w:color="auto" w:fill="FFFFFF"/>
          </w:tcPr>
          <w:p>
            <w:r>
              <w:rPr>
                <w:sz w:val="17"/>
              </w:rPr>
              <w:t>Federal Decree-Law No. 50 of 2022</w:t>
            </w:r>
          </w:p>
        </w:tc>
        <w:tc>
          <w:tcPr>
            <w:tcW w:type="dxa" w:w="4703"/>
            <w:shd w:val="clear" w:color="auto" w:fill="FFFFFF"/>
          </w:tcPr>
          <w:p>
            <w:r>
              <w:rPr>
                <w:sz w:val="17"/>
              </w:rPr>
              <w:t>Commercial Transactions Law</w:t>
            </w:r>
          </w:p>
        </w:tc>
      </w:tr>
      <w:tr>
        <w:tc>
          <w:tcPr>
            <w:tcW w:type="dxa" w:w="4703"/>
            <w:shd w:val="clear" w:color="auto" w:fill="F7F9FC"/>
          </w:tcPr>
          <w:p>
            <w:r>
              <w:rPr>
                <w:sz w:val="17"/>
              </w:rPr>
              <w:t>Federal Law No. 5 of 1985</w:t>
            </w:r>
          </w:p>
        </w:tc>
        <w:tc>
          <w:tcPr>
            <w:tcW w:type="dxa" w:w="4703"/>
            <w:shd w:val="clear" w:color="auto" w:fill="F7F9FC"/>
          </w:tcPr>
          <w:p>
            <w:r>
              <w:rPr>
                <w:sz w:val="17"/>
              </w:rPr>
              <w:t>Civil Transactions Law (Civil Code)</w:t>
            </w:r>
          </w:p>
        </w:tc>
      </w:tr>
    </w:tbl>
    <w:p/>
    <w:p>
      <w:pPr>
        <w:spacing w:before="120"/>
      </w:pPr>
      <w:r>
        <w:rPr>
          <w:color w:val="555555"/>
          <w:sz w:val="17"/>
        </w:rPr>
        <w:t>This Agreement has been prepared in compliance with all applicable UAE federal laws as listed in Schedule A above. Both parties confirm they have read, understood, and agree to all terms and conditions of this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