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80" w:after="0"/>
      </w:pPr>
    </w:p>
    <w:p>
      <w:pPr>
        <w:pBdr>
          <w:bottom w:val="single" w:sz="8" w:space="1" w:color="1A5C2A"/>
        </w:pBdr>
        <w:spacing w:before="60" w:after="60"/>
      </w:pPr>
    </w:p>
    <w:p>
      <w:pPr>
        <w:spacing w:before="0" w:after="8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jc w:val="left"/>
            </w:pPr>
            <w:r>
              <w:drawing>
                <wp:inline xmlns:a="http://schemas.openxmlformats.org/drawingml/2006/main" xmlns:pic="http://schemas.openxmlformats.org/drawingml/2006/picture">
                  <wp:extent cx="1371600" cy="1373629"/>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371600" cy="1373629"/>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60" w:before="0"/>
      </w:pPr>
    </w:p>
    <w:p>
      <w:pPr>
        <w:pBdr>
          <w:bottom w:val="single" w:sz="6" w:space="1" w:color="1A5C2A"/>
        </w:pBdr>
        <w:spacing w:before="40" w:after="40"/>
      </w:pPr>
    </w:p>
    <w:p>
      <w:pPr>
        <w:spacing w:before="0" w:after="6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pPr>
              <w:spacing w:before="40" w:after="40"/>
            </w:pPr>
            <w:r>
              <w:rPr>
                <w:b/>
                <w:color w:val="FFFFFF"/>
                <w:sz w:val="16"/>
              </w:rPr>
              <w:t>Law / Decree</w:t>
            </w:r>
          </w:p>
        </w:tc>
        <w:tc>
          <w:tcPr>
            <w:tcW w:type="dxa" w:w="5616"/>
            <w:shd w:val="clear" w:color="auto" w:fill="1A7A3C"/>
          </w:tcPr>
          <w:p>
            <w:pPr>
              <w:spacing w:before="40" w:after="40"/>
            </w:pPr>
            <w:r>
              <w:rPr>
                <w:b/>
                <w:color w:val="FFFFFF"/>
                <w:sz w:val="16"/>
              </w:rPr>
              <w:t>Subject Matter</w:t>
            </w:r>
          </w:p>
        </w:tc>
      </w:tr>
      <w:tr>
        <w:tc>
          <w:tcPr>
            <w:tcW w:type="dxa" w:w="3456"/>
            <w:shd w:val="clear" w:color="auto" w:fill="EEF2FF"/>
          </w:tcPr>
          <w:p>
            <w:pPr>
              <w:spacing w:before="40" w:after="40"/>
            </w:pPr>
            <w:r>
              <w:rPr>
                <w:sz w:val="16"/>
              </w:rPr>
              <w:t>Federal Decree-Law No. 29 of 2021</w:t>
            </w:r>
          </w:p>
        </w:tc>
        <w:tc>
          <w:tcPr>
            <w:tcW w:type="dxa" w:w="5616"/>
            <w:shd w:val="clear" w:color="auto" w:fill="EEF2FF"/>
          </w:tcPr>
          <w:p>
            <w:pPr>
              <w:spacing w:before="40" w:after="40"/>
            </w:pPr>
            <w:r>
              <w:rPr>
                <w:sz w:val="16"/>
              </w:rPr>
              <w:t>Entry and Residence of Foreigners</w:t>
            </w:r>
          </w:p>
        </w:tc>
      </w:tr>
      <w:tr>
        <w:tc>
          <w:tcPr>
            <w:tcW w:type="dxa" w:w="3456"/>
            <w:shd w:val="clear" w:color="auto" w:fill="FFFFFF"/>
          </w:tcPr>
          <w:p>
            <w:pPr>
              <w:spacing w:before="40" w:after="40"/>
            </w:pPr>
            <w:r>
              <w:rPr>
                <w:sz w:val="16"/>
              </w:rPr>
              <w:t>Cabinet Resolution No. 65 of 2022</w:t>
            </w:r>
          </w:p>
        </w:tc>
        <w:tc>
          <w:tcPr>
            <w:tcW w:type="dxa" w:w="5616"/>
            <w:shd w:val="clear" w:color="auto" w:fill="FFFFFF"/>
          </w:tcPr>
          <w:p>
            <w:pPr>
              <w:spacing w:before="40" w:after="40"/>
            </w:pPr>
            <w:r>
              <w:rPr>
                <w:sz w:val="16"/>
              </w:rPr>
              <w:t>Executive Regulations — Entry and Residence</w:t>
            </w:r>
          </w:p>
        </w:tc>
      </w:tr>
      <w:tr>
        <w:tc>
          <w:tcPr>
            <w:tcW w:type="dxa" w:w="3456"/>
            <w:shd w:val="clear" w:color="auto" w:fill="EEF2FF"/>
          </w:tcPr>
          <w:p>
            <w:pPr>
              <w:spacing w:before="40" w:after="40"/>
            </w:pPr>
            <w:r>
              <w:rPr>
                <w:sz w:val="16"/>
              </w:rPr>
              <w:t>Federal Decree-Law No. 8 of 2017</w:t>
            </w:r>
          </w:p>
        </w:tc>
        <w:tc>
          <w:tcPr>
            <w:tcW w:type="dxa" w:w="5616"/>
            <w:shd w:val="clear" w:color="auto" w:fill="EEF2FF"/>
          </w:tcPr>
          <w:p>
            <w:pPr>
              <w:spacing w:before="40" w:after="40"/>
            </w:pPr>
            <w:r>
              <w:rPr>
                <w:sz w:val="16"/>
              </w:rPr>
              <w:t>Value Added Tax Law</w:t>
            </w:r>
          </w:p>
        </w:tc>
      </w:tr>
      <w:tr>
        <w:tc>
          <w:tcPr>
            <w:tcW w:type="dxa" w:w="3456"/>
            <w:shd w:val="clear" w:color="auto" w:fill="FFFFFF"/>
          </w:tcPr>
          <w:p>
            <w:pPr>
              <w:spacing w:before="40" w:after="40"/>
            </w:pPr>
            <w:r>
              <w:rPr>
                <w:sz w:val="16"/>
              </w:rPr>
              <w:t>Federal Law No. 15 of 2020</w:t>
            </w:r>
          </w:p>
        </w:tc>
        <w:tc>
          <w:tcPr>
            <w:tcW w:type="dxa" w:w="5616"/>
            <w:shd w:val="clear" w:color="auto" w:fill="FFFFFF"/>
          </w:tcPr>
          <w:p>
            <w:pPr>
              <w:spacing w:before="40" w:after="40"/>
            </w:pPr>
            <w:r>
              <w:rPr>
                <w:sz w:val="16"/>
              </w:rPr>
              <w:t>Consumer Protection</w:t>
            </w:r>
          </w:p>
        </w:tc>
      </w:tr>
      <w:tr>
        <w:tc>
          <w:tcPr>
            <w:tcW w:type="dxa" w:w="3456"/>
            <w:shd w:val="clear" w:color="auto" w:fill="EEF2FF"/>
          </w:tcPr>
          <w:p>
            <w:pPr>
              <w:spacing w:before="40" w:after="40"/>
            </w:pPr>
            <w:r>
              <w:rPr>
                <w:sz w:val="16"/>
              </w:rPr>
              <w:t>Cabinet Decision No. 66 of 2023</w:t>
            </w:r>
          </w:p>
        </w:tc>
        <w:tc>
          <w:tcPr>
            <w:tcW w:type="dxa" w:w="5616"/>
            <w:shd w:val="clear" w:color="auto" w:fill="EEF2FF"/>
          </w:tcPr>
          <w:p>
            <w:pPr>
              <w:spacing w:before="40" w:after="40"/>
            </w:pPr>
            <w:r>
              <w:rPr>
                <w:sz w:val="16"/>
              </w:rPr>
              <w:t>Executive Regulations — Consumer Protection</w:t>
            </w:r>
          </w:p>
        </w:tc>
      </w:tr>
      <w:tr>
        <w:tc>
          <w:tcPr>
            <w:tcW w:type="dxa" w:w="3456"/>
            <w:shd w:val="clear" w:color="auto" w:fill="FFFFFF"/>
          </w:tcPr>
          <w:p>
            <w:pPr>
              <w:spacing w:before="40" w:after="40"/>
            </w:pPr>
            <w:r>
              <w:rPr>
                <w:sz w:val="16"/>
              </w:rPr>
              <w:t>Federal Decree-Law No. 45 of 2021</w:t>
            </w:r>
          </w:p>
        </w:tc>
        <w:tc>
          <w:tcPr>
            <w:tcW w:type="dxa" w:w="5616"/>
            <w:shd w:val="clear" w:color="auto" w:fill="FFFFFF"/>
          </w:tcPr>
          <w:p>
            <w:pPr>
              <w:spacing w:before="40" w:after="40"/>
            </w:pPr>
            <w:r>
              <w:rPr>
                <w:sz w:val="16"/>
              </w:rPr>
              <w:t>Protection of Personal Data (PDPL)</w:t>
            </w:r>
          </w:p>
        </w:tc>
      </w:tr>
      <w:tr>
        <w:tc>
          <w:tcPr>
            <w:tcW w:type="dxa" w:w="3456"/>
            <w:shd w:val="clear" w:color="auto" w:fill="EEF2FF"/>
          </w:tcPr>
          <w:p>
            <w:pPr>
              <w:spacing w:before="40" w:after="40"/>
            </w:pPr>
            <w:r>
              <w:rPr>
                <w:sz w:val="16"/>
              </w:rPr>
              <w:t>Federal Decree-Law No. 20 of 2018</w:t>
            </w:r>
          </w:p>
        </w:tc>
        <w:tc>
          <w:tcPr>
            <w:tcW w:type="dxa" w:w="5616"/>
            <w:shd w:val="clear" w:color="auto" w:fill="EEF2FF"/>
          </w:tcPr>
          <w:p>
            <w:pPr>
              <w:spacing w:before="40" w:after="40"/>
            </w:pPr>
            <w:r>
              <w:rPr>
                <w:sz w:val="16"/>
              </w:rPr>
              <w:t>Anti-Money Laundering &amp; Combating Financing of Terrorism</w:t>
            </w:r>
          </w:p>
        </w:tc>
      </w:tr>
      <w:tr>
        <w:tc>
          <w:tcPr>
            <w:tcW w:type="dxa" w:w="3456"/>
            <w:shd w:val="clear" w:color="auto" w:fill="FFFFFF"/>
          </w:tcPr>
          <w:p>
            <w:pPr>
              <w:spacing w:before="40" w:after="40"/>
            </w:pPr>
            <w:r>
              <w:rPr>
                <w:sz w:val="16"/>
              </w:rPr>
              <w:t>Federal Decree-Law No. 50 of 2022</w:t>
            </w:r>
          </w:p>
        </w:tc>
        <w:tc>
          <w:tcPr>
            <w:tcW w:type="dxa" w:w="5616"/>
            <w:shd w:val="clear" w:color="auto" w:fill="FFFFFF"/>
          </w:tcPr>
          <w:p>
            <w:pPr>
              <w:spacing w:before="40" w:after="40"/>
            </w:pPr>
            <w:r>
              <w:rPr>
                <w:sz w:val="16"/>
              </w:rPr>
              <w:t>Commercial Transactions Law</w:t>
            </w:r>
          </w:p>
        </w:tc>
      </w:tr>
      <w:tr>
        <w:tc>
          <w:tcPr>
            <w:tcW w:type="dxa" w:w="3456"/>
            <w:shd w:val="clear" w:color="auto" w:fill="EEF2FF"/>
          </w:tcPr>
          <w:p>
            <w:pPr>
              <w:spacing w:before="40" w:after="40"/>
            </w:pPr>
            <w:r>
              <w:rPr>
                <w:b/>
                <w:sz w:val="16"/>
              </w:rPr>
              <w:t>Federal Law No. 5 of 1985</w:t>
            </w:r>
          </w:p>
        </w:tc>
        <w:tc>
          <w:tcPr>
            <w:tcW w:type="dxa" w:w="5616"/>
            <w:shd w:val="clear" w:color="auto" w:fill="EEF2FF"/>
          </w:tcPr>
          <w:p>
            <w:pPr>
              <w:spacing w:before="40" w:after="40"/>
            </w:pPr>
            <w:r>
              <w:rPr>
                <w:b/>
                <w:sz w:val="16"/>
              </w:rPr>
              <w:t>Civil Transactions Law (Civil Code)</w:t>
            </w:r>
          </w:p>
        </w:tc>
      </w:tr>
    </w:tbl>
    <w:p>
      <w:pPr>
        <w:spacing w:after="20" w:before="0"/>
      </w:pPr>
    </w:p>
    <w:p>
      <w:pPr>
        <w:spacing w:before="40" w:after="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