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434343"/>
          <w:sz w:val="56"/>
          <w:szCs w:val="56"/>
        </w:rPr>
      </w:pPr>
      <w:r w:rsidDel="00000000" w:rsidR="00000000" w:rsidRPr="00000000">
        <w:rPr>
          <w:color w:val="434343"/>
          <w:sz w:val="56"/>
          <w:szCs w:val="56"/>
          <w:rtl w:val="0"/>
        </w:rPr>
        <w:t xml:space="preserve">Health Insurance Cost Analysis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DEVANSH GROVER - 2423366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SHAURYA BAJAJ - 2423374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AAKARSH JAWA - 2423380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objective of this project is to analyze the factors affecting medical insurance charges using regression analysis. Insurance companies rely on data-driven models to determine premium pricing and risk segmentation. This study uses a dataset of 1,338 policyholders to identify key drivers of insurance cost.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Business Objective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main objective is to determine which demographic and lifestyle factors significantly influence insurance charges and quantify their impact using statistical modeling.</w:t>
      </w:r>
    </w:p>
    <w:p w:rsidR="00000000" w:rsidDel="00000000" w:rsidP="00000000" w:rsidRDefault="00000000" w:rsidRPr="00000000" w14:paraId="00000013">
      <w:pPr>
        <w:rPr>
          <w:color w:val="666666"/>
          <w:sz w:val="32"/>
          <w:szCs w:val="32"/>
          <w:u w:val="single"/>
        </w:rPr>
      </w:pPr>
      <w:r w:rsidDel="00000000" w:rsidR="00000000" w:rsidRPr="00000000">
        <w:rPr>
          <w:color w:val="666666"/>
          <w:sz w:val="32"/>
          <w:szCs w:val="32"/>
          <w:u w:val="single"/>
          <w:rtl w:val="0"/>
        </w:rPr>
        <w:t xml:space="preserve">Dataset Overview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dataset contains 1,338 observations with the following variables: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Sex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BMI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of Children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Smoking Status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Region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Insurance Charges (Target Variable)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4860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color w:val="666666"/>
          <w:sz w:val="32"/>
          <w:szCs w:val="32"/>
          <w:u w:val="single"/>
          <w:rtl w:val="0"/>
        </w:rPr>
        <w:t xml:space="preserve">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Summary Statistics - The average insurance charge shows high variability. BMI values suggest a relatively high average body mass index. Age ranges from young adults to senior individuals.</w:t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3000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Correlation Analysis - Correlation analysis shows positive relationships between age, BMI, and insurance charges. Smoking status shows the strongest visible impact. </w:t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0747" cy="37845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747" cy="3784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Smoking Impact - Smokers incur significantly higher insurance charges compared to non-smokers, indicating lifestyle risk plays a dominant role.</w:t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color w:val="666666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86400" cy="429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color w:val="666666"/>
          <w:sz w:val="32"/>
          <w:szCs w:val="32"/>
          <w:u w:val="single"/>
        </w:rPr>
      </w:pPr>
      <w:r w:rsidDel="00000000" w:rsidR="00000000" w:rsidRPr="00000000">
        <w:rPr>
          <w:color w:val="666666"/>
          <w:sz w:val="32"/>
          <w:szCs w:val="32"/>
          <w:u w:val="single"/>
          <w:rtl w:val="0"/>
        </w:rPr>
        <w:t xml:space="preserve">Regression Model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 Ordinary Least Squares (OLS) regression model was developed to quantify the relationship between predictors and insurance charges.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86400" cy="4902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color w:val="666666"/>
          <w:sz w:val="32"/>
          <w:szCs w:val="32"/>
          <w:u w:val="single"/>
        </w:rPr>
      </w:pPr>
      <w:r w:rsidDel="00000000" w:rsidR="00000000" w:rsidRPr="00000000">
        <w:rPr>
          <w:color w:val="666666"/>
          <w:sz w:val="32"/>
          <w:szCs w:val="32"/>
          <w:u w:val="single"/>
          <w:rtl w:val="0"/>
        </w:rPr>
        <w:t xml:space="preserve">Model Performance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R² = 0.823</w:t>
        <w:br w:type="textWrapping"/>
        <w:t xml:space="preserve">Adjusted R² = 0.822</w:t>
        <w:br w:type="textWrapping"/>
        <w:t xml:space="preserve">RMSE = 4,989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model explains 82.3% of the variance in insurance charges, indicating strong predictive performance.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Interpretation of Coefficients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Smoking increases charges by ₹24,790 (highly significant).</w:t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Each additional year of age increases charges by ₹261.</w:t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Each BMI unit increases charges by ₹257.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Each additional child increases charges by ₹232.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Region was not statistically significant.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Business Implications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Insurance companies should apply significant premium differentials for smokers. Age-based premium laddering and BMI-based wellness programs can help manage risk exposure.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 Limitations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dataset does not include medical history, chronic disease information, or healthcare usage frequency. Therefore, some variability remains unexplained.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666666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This study demonstrates that smoking is the dominant predictor of insurance charges, followed by age and BMI. The regression model provides strong explanatory power (R² = 0.823) and can be used for risk-based pricing and strategic decision-making.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