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T - Test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The Independent Samples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b0318"/>
              <w:sz w:val="24"/>
              <w:szCs w:val="24"/>
              <w:highlight w:val="white"/>
              <w:rtl w:val="0"/>
            </w:rPr>
            <w:t xml:space="preserve">t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 Test compares the means of two independent groups in order to determine whether there is statistical evidence that the associated population means are significantly different. The Independent Samples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b0318"/>
              <w:sz w:val="24"/>
              <w:szCs w:val="24"/>
              <w:highlight w:val="white"/>
              <w:rtl w:val="0"/>
            </w:rPr>
            <w:t xml:space="preserve">t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 Test is a parametric test.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Data required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dependent variable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numPr>
              <w:ilvl w:val="0"/>
              <w:numId w:val="2"/>
            </w:numPr>
            <w:ind w:left="720" w:hanging="36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independent variable 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var1 independent has four values 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1. man 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 women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3. others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4. I don't want to answer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dependent variable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It refers to the number of minutes, which are spent by women and men on social media for learning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purpose.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Hypothesis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numPr>
              <w:ilvl w:val="0"/>
              <w:numId w:val="1"/>
            </w:numPr>
            <w:ind w:left="720" w:hanging="36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H0 = null hypothesis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ind w:left="72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(μ1=μ2).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There is no difference between women students and men students in the time spent on social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media for learning purpose.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   2.   H1= alternative hypothesis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sdt>
            <w:sdtPr>
              <w:tag w:val="goog_rdk_27"/>
            </w:sdtPr>
            <w:sdtContent>
              <w:r w:rsidDel="00000000" w:rsidR="00000000" w:rsidRPr="00000000">
                <w:rPr>
                  <w:rFonts w:ascii="Cardo" w:cs="Cardo" w:eastAsia="Cardo" w:hAnsi="Cardo"/>
                  <w:sz w:val="24"/>
                  <w:szCs w:val="24"/>
                  <w:rtl w:val="0"/>
                </w:rPr>
                <w:t xml:space="preserve">             (μ1≠μ2)</w:t>
              </w:r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C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There is a difference between women students and men students in the time spent on social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D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media for learning purpose.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E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0" distR="0">
                <wp:extent cx="6298565" cy="2040890"/>
                <wp:effectExtent b="0" l="0" r="0" t="0"/>
                <wp:docPr descr="\\GOOFY2\HT18\wagu6408\Desktop\T test.PNG" id="8" name="image4.png"/>
                <a:graphic>
                  <a:graphicData uri="http://schemas.openxmlformats.org/drawingml/2006/picture">
                    <pic:pic>
                      <pic:nvPicPr>
                        <pic:cNvPr descr="\\GOOFY2\HT18\wagu6408\Desktop\T test.PNG"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8565" cy="2040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1F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0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0" distR="0">
                <wp:extent cx="6582410" cy="1427722"/>
                <wp:effectExtent b="0" l="0" r="0" t="0"/>
                <wp:docPr descr="\\GOOFY2\HT18\wagu6408\Desktop\T 2.PNG" id="10" name="image2.png"/>
                <a:graphic>
                  <a:graphicData uri="http://schemas.openxmlformats.org/drawingml/2006/picture">
                    <pic:pic>
                      <pic:nvPicPr>
                        <pic:cNvPr descr="\\GOOFY2\HT18\wagu6408\Desktop\T 2.PNG"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2410" cy="1427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1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We can see that significant value is .014 which is less than .05 so its means null hypothesis is not valid There is a difference between women students and men students in the time spent on social media for learning purpose.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2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3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4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5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6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7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8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9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A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B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C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D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E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2F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0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1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2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3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4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5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ANOVA TEST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6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7">
          <w:pPr>
            <w:spacing w:line="240" w:lineRule="auto"/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 Anova test compares the means of two or more independent groups in order to determine whether there is statistical evidence that the associated population means are significantly different. One-Way ANOVA is a parametric test.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8">
          <w:pPr>
            <w:pBdr>
              <w:top w:color="000000" w:space="3" w:sz="0" w:val="none"/>
            </w:pBdr>
            <w:spacing w:after="300" w:lineRule="auto"/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1 Dependent variable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9">
          <w:pPr>
            <w:pBdr>
              <w:top w:color="000000" w:space="3" w:sz="0" w:val="none"/>
            </w:pBdr>
            <w:spacing w:after="300" w:lineRule="auto"/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2 Independent variable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A">
          <w:pPr>
            <w:shd w:fill="ffffff" w:val="clear"/>
            <w:spacing w:after="300" w:line="405" w:lineRule="auto"/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The null and alternative hypotheses of one-way ANOVA can be expressed as: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B">
          <w:pPr>
            <w:shd w:fill="ffffff" w:val="clear"/>
            <w:spacing w:after="300" w:line="405" w:lineRule="auto"/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b0318"/>
              <w:sz w:val="24"/>
              <w:szCs w:val="24"/>
              <w:highlight w:val="white"/>
              <w:rtl w:val="0"/>
            </w:rPr>
            <w:t xml:space="preserve">H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0: µ1 = µ2 = µ3  = ...   = µk   ("all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b0318"/>
              <w:sz w:val="24"/>
              <w:szCs w:val="24"/>
              <w:highlight w:val="white"/>
              <w:rtl w:val="0"/>
            </w:rPr>
            <w:t xml:space="preserve">k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 population means are equal")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C">
          <w:pPr>
            <w:shd w:fill="ffffff" w:val="clear"/>
            <w:spacing w:after="300" w:line="405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b0318"/>
              <w:sz w:val="24"/>
              <w:szCs w:val="24"/>
              <w:highlight w:val="white"/>
              <w:rtl w:val="0"/>
            </w:rPr>
            <w:t xml:space="preserve">H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1: At least one µi different  ("at least one of the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b0318"/>
              <w:sz w:val="24"/>
              <w:szCs w:val="24"/>
              <w:highlight w:val="white"/>
              <w:rtl w:val="0"/>
            </w:rPr>
            <w:t xml:space="preserve">k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 population means is not equal to the others")where µi is the population mean of the ith group (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b0318"/>
              <w:sz w:val="24"/>
              <w:szCs w:val="24"/>
              <w:highlight w:val="white"/>
              <w:rtl w:val="0"/>
            </w:rPr>
            <w:t xml:space="preserve">i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 = 1, 2, ...,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b0318"/>
              <w:sz w:val="24"/>
              <w:szCs w:val="24"/>
              <w:highlight w:val="white"/>
              <w:rtl w:val="0"/>
            </w:rPr>
            <w:t xml:space="preserve">k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D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0" distR="0">
                <wp:extent cx="6581775" cy="1867217"/>
                <wp:effectExtent b="0" l="0" r="0" t="0"/>
                <wp:docPr descr="\\GOOFY2\HT18\wagu6408\Desktop\Anova .PNG" id="9" name="image3.png"/>
                <a:graphic>
                  <a:graphicData uri="http://schemas.openxmlformats.org/drawingml/2006/picture">
                    <pic:pic>
                      <pic:nvPicPr>
                        <pic:cNvPr descr="\\GOOFY2\HT18\wagu6408\Desktop\Anova .PNG"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1775" cy="18672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E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Hence H0 is correct because there is no difference between gender and employed number of minutes which spent on social media for purpose learning.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3F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3">
          <w:pPr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4">
          <w:pPr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5">
          <w:pPr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6">
          <w:pPr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7">
          <w:pPr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8">
          <w:pPr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9">
          <w:pPr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Correlation TEST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B">
          <w:pPr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Correlation produces a sample correlation coefficient,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b0318"/>
              <w:sz w:val="24"/>
              <w:szCs w:val="24"/>
              <w:highlight w:val="white"/>
              <w:rtl w:val="0"/>
            </w:rPr>
            <w:t xml:space="preserve">r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, which measures the strength and direction of linear relationships between pairs of continuous variables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C">
          <w:pPr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D">
          <w:pPr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b0318"/>
              <w:sz w:val="24"/>
              <w:szCs w:val="24"/>
              <w:highlight w:val="white"/>
              <w:rtl w:val="0"/>
            </w:rPr>
            <w:t xml:space="preserve">H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0: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b0318"/>
              <w:sz w:val="24"/>
              <w:szCs w:val="24"/>
              <w:highlight w:val="white"/>
              <w:rtl w:val="0"/>
            </w:rPr>
            <w:t xml:space="preserve">ρ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  <w:rtl w:val="0"/>
            </w:rPr>
            <w:t xml:space="preserve"> = 0 ("the population correlation coefficient is 0; there is no association")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E">
          <w:pPr>
            <w:rPr>
              <w:rFonts w:ascii="Times New Roman" w:cs="Times New Roman" w:eastAsia="Times New Roman" w:hAnsi="Times New Roman"/>
              <w:color w:val="0b0318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0b0318"/>
              <w:sz w:val="24"/>
              <w:szCs w:val="24"/>
              <w:highlight w:val="white"/>
              <w:rtl w:val="0"/>
            </w:rPr>
            <w:t xml:space="preserve">H</w:t>
          </w:r>
          <w:sdt>
            <w:sdtPr>
              <w:tag w:val="goog_rdk_79"/>
            </w:sdtPr>
            <w:sdtContent>
              <w:r w:rsidDel="00000000" w:rsidR="00000000" w:rsidRPr="00000000">
                <w:rPr>
                  <w:rFonts w:ascii="Cardo" w:cs="Cardo" w:eastAsia="Cardo" w:hAnsi="Cardo"/>
                  <w:color w:val="0b0318"/>
                  <w:sz w:val="24"/>
                  <w:szCs w:val="24"/>
                  <w:highlight w:val="white"/>
                  <w:rtl w:val="0"/>
                </w:rPr>
                <w:t xml:space="preserve">1: ρ ≠ 0 ("the population correlation coefficient is not 0; a nonzero correlation could exist")</w:t>
              </w:r>
            </w:sdtContent>
          </w:sdt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4F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/>
            <w:drawing>
              <wp:inline distB="114300" distT="114300" distL="114300" distR="114300">
                <wp:extent cx="4933950" cy="2762250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950" cy="2762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2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The significant value is .988, which is greater than .05, which means null hypothesis is valid.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3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4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5840" w:w="13200"/>
      <w:pgMar w:bottom="1417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2zMdWckf73z0mc0qz94DWvFsYQ==">AMUW2mUU0IlMfCvwHXCJUTyc83TqiaDaNqP6DJwo0lDb8+kIWBi2u4wyYixY2jWPDPvCh46uPrdOU/N2dVp2XsAAaqBMPSB7UX9lh8dRcipgvLFlI3fM0Z8+gVeiJny45HmjI8R6pXgbTEzKCDNhrFLEYJKKibK1ctAfwHIwpV44VWojo3Ekwz1KSW6V1/rDOw2di0AZtAFci75cXJO1ZWcmmUZzJSQU/7UL/4j35deVCRFl0NdYXuQ=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2019-05-23T17:27:00Z</dcterms:created>
</cp:coreProperties>
</file>