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56.32% | Observations: 364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62.09% | Observations:211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54.79% | Observations: 188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0.0% | Observations: 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61.59% | Observations: 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40.54% | Observations: 74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4.74% | Observations: 211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2335</w:t>
            </w:r>
          </w:p>
        </w:tc>
        <w:tc>
          <w:tcPr>
            <w:tcW w:type="dxa" w:w="1728"/>
          </w:tcPr>
          <w:p>
            <w:r>
              <w:t>389.17</w:t>
            </w:r>
          </w:p>
        </w:tc>
        <w:tc>
          <w:tcPr>
            <w:tcW w:type="dxa" w:w="1728"/>
          </w:tcPr>
          <w:p>
            <w:r>
              <w:t>122.89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1431</w:t>
            </w:r>
          </w:p>
        </w:tc>
        <w:tc>
          <w:tcPr>
            <w:tcW w:type="dxa" w:w="1728"/>
          </w:tcPr>
          <w:p>
            <w:r>
              <w:t>238.50</w:t>
            </w:r>
          </w:p>
        </w:tc>
        <w:tc>
          <w:tcPr>
            <w:tcW w:type="dxa" w:w="1728"/>
          </w:tcPr>
          <w:p>
            <w:r>
              <w:t>75.32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943</w:t>
            </w:r>
          </w:p>
        </w:tc>
        <w:tc>
          <w:tcPr>
            <w:tcW w:type="dxa" w:w="1728"/>
          </w:tcPr>
          <w:p>
            <w:r>
              <w:t>157.17</w:t>
            </w:r>
          </w:p>
        </w:tc>
        <w:tc>
          <w:tcPr>
            <w:tcW w:type="dxa" w:w="1728"/>
          </w:tcPr>
          <w:p>
            <w:r>
              <w:t>49.63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12.16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164.00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12.6%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10.3%</w:t>
            </w:r>
          </w:p>
        </w:tc>
        <w:tc>
          <w:tcPr>
            <w:tcW w:type="dxa" w:w="1728"/>
          </w:tcPr>
          <w:p>
            <w:r>
              <w:t>31.0%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55.2%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3.48</w:t>
            </w:r>
          </w:p>
        </w:tc>
        <w:tc>
          <w:tcPr>
            <w:tcW w:type="dxa" w:w="1440"/>
          </w:tcPr>
          <w:p>
            <w:r>
              <w:t>5.43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31.1%</w:t>
            </w:r>
          </w:p>
        </w:tc>
        <w:tc>
          <w:tcPr>
            <w:tcW w:type="dxa" w:w="2160"/>
          </w:tcPr>
          <w:p>
            <w:r>
              <w:t>56.8%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12.0%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37.3%</w:t>
            </w:r>
          </w:p>
        </w:tc>
        <w:tc>
          <w:tcPr>
            <w:tcW w:type="dxa" w:w="960"/>
          </w:tcPr>
          <w:p>
            <w:r>
              <w:t>18.1%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14.5%</w:t>
            </w:r>
          </w:p>
        </w:tc>
        <w:tc>
          <w:tcPr>
            <w:tcW w:type="dxa" w:w="960"/>
          </w:tcPr>
          <w:p>
            <w:r>
              <w:t>3.6%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6.6%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5.3%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13.2%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  <w:tc>
          <w:tcPr>
            <w:tcW w:type="dxa" w:w="960"/>
          </w:tcPr>
          <w:p>
            <w:r>
              <w:t>14.6%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Long</w:t>
            </w:r>
          </w:p>
        </w:tc>
        <w:tc>
          <w:tcPr>
            <w:tcW w:type="dxa" w:w="960"/>
          </w:tcPr>
          <w:p>
            <w:r>
              <w:t>14.1%</w:t>
            </w:r>
          </w:p>
        </w:tc>
        <w:tc>
          <w:tcPr>
            <w:tcW w:type="dxa" w:w="960"/>
          </w:tcPr>
          <w:p>
            <w:r>
              <w:t>6.5%</w:t>
            </w:r>
          </w:p>
        </w:tc>
        <w:tc>
          <w:tcPr>
            <w:tcW w:type="dxa" w:w="960"/>
          </w:tcPr>
          <w:p>
            <w:r>
              <w:t>25.5%</w:t>
            </w:r>
          </w:p>
        </w:tc>
        <w:tc>
          <w:tcPr>
            <w:tcW w:type="dxa" w:w="960"/>
          </w:tcPr>
          <w:p>
            <w:r>
              <w:t>17.4%</w:t>
            </w:r>
          </w:p>
        </w:tc>
        <w:tc>
          <w:tcPr>
            <w:tcW w:type="dxa" w:w="960"/>
          </w:tcPr>
          <w:p>
            <w:r>
              <w:t>7.6%</w:t>
            </w:r>
          </w:p>
        </w:tc>
        <w:tc>
          <w:tcPr>
            <w:tcW w:type="dxa" w:w="960"/>
          </w:tcPr>
          <w:p>
            <w:r>
              <w:t>9.8%</w:t>
            </w:r>
          </w:p>
        </w:tc>
        <w:tc>
          <w:tcPr>
            <w:tcW w:type="dxa" w:w="960"/>
          </w:tcPr>
          <w:p>
            <w:r>
              <w:t>15.2%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  <w:tr>
        <w:tc>
          <w:tcPr>
            <w:tcW w:type="dxa" w:w="960"/>
          </w:tcPr>
          <w:p>
            <w:r>
              <w:t>Medium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9.5%</w:t>
            </w:r>
          </w:p>
        </w:tc>
        <w:tc>
          <w:tcPr>
            <w:tcW w:type="dxa" w:w="960"/>
          </w:tcPr>
          <w:p>
            <w:r>
              <w:t>23.8%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38.1%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</w:tr>
      <w:tr>
        <w:tc>
          <w:tcPr>
            <w:tcW w:type="dxa" w:w="960"/>
          </w:tcPr>
          <w:p>
            <w:r>
              <w:t>Short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1WR | 2TE | 2RB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1TE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2TE | 1RB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</w:tr>
      <w:tr>
        <w:tc>
          <w:tcPr>
            <w:tcW w:type="dxa" w:w="960"/>
          </w:tcPr>
          <w:p>
            <w:r>
              <w:t>3WR | 0TE | 1RB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</w:tr>
      <w:tr>
        <w:tc>
          <w:tcPr>
            <w:tcW w:type="dxa" w:w="960"/>
          </w:tcPr>
          <w:p>
            <w:r>
              <w:t>3WR | 0TE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3WR | 1TE | 1RB</w:t>
            </w:r>
          </w:p>
        </w:tc>
        <w:tc>
          <w:tcPr>
            <w:tcW w:type="dxa" w:w="960"/>
          </w:tcPr>
          <w:p>
            <w:r>
              <w:t>16.4%</w:t>
            </w:r>
          </w:p>
        </w:tc>
        <w:tc>
          <w:tcPr>
            <w:tcW w:type="dxa" w:w="960"/>
          </w:tcPr>
          <w:p>
            <w:r>
              <w:t>5.5%</w:t>
            </w:r>
          </w:p>
        </w:tc>
        <w:tc>
          <w:tcPr>
            <w:tcW w:type="dxa" w:w="960"/>
          </w:tcPr>
          <w:p>
            <w:r>
              <w:t>12.7%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9.1%</w:t>
            </w:r>
          </w:p>
        </w:tc>
        <w:tc>
          <w:tcPr>
            <w:tcW w:type="dxa" w:w="960"/>
          </w:tcPr>
          <w:p>
            <w:r>
              <w:t>23.6%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</w:tr>
      <w:tr>
        <w:tc>
          <w:tcPr>
            <w:tcW w:type="dxa" w:w="960"/>
          </w:tcPr>
          <w:p>
            <w:r>
              <w:t>4WR | 0TE | 1RB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  <w:tc>
          <w:tcPr>
            <w:tcW w:type="dxa" w:w="960"/>
          </w:tcPr>
          <w:p>
            <w:r>
              <w:t>19.2%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13.8%</w:t>
            </w:r>
          </w:p>
        </w:tc>
        <w:tc>
          <w:tcPr>
            <w:tcW w:type="dxa" w:w="960"/>
          </w:tcPr>
          <w:p>
            <w:r>
              <w:t>10.8%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49.00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11.72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117.00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Non Passing Play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44.4%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>1.4%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20.3%</w:t>
            </w:r>
          </w:p>
        </w:tc>
        <w:tc>
          <w:tcPr>
            <w:tcW w:type="dxa" w:w="1234"/>
          </w:tcPr>
          <w:p>
            <w:r>
              <w:t>60.4%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4320"/>
          </w:tcPr>
          <w:p>
            <w:r>
              <w:t>0       9</w:t>
              <w:br/>
              <w:t>1       9</w:t>
              <w:br/>
              <w:t>2       9</w:t>
              <w:br/>
              <w:t>3      15</w:t>
              <w:br/>
              <w:t>4      15</w:t>
              <w:br/>
              <w:t xml:space="preserve">       ..</w:t>
              <w:br/>
              <w:t>260   -99</w:t>
              <w:br/>
              <w:t>261   -99</w:t>
              <w:br/>
              <w:t>262   -99</w:t>
              <w:br/>
              <w:t>263   -99</w:t>
              <w:br/>
              <w:t>264   -99</w:t>
              <w:br/>
              <w:t>Name: Result_BallCarrier, Length: 217, dtype: int64</w:t>
            </w:r>
          </w:p>
        </w:tc>
      </w:tr>
      <w:tr>
        <w:tc>
          <w:tcPr>
            <w:tcW w:type="dxa" w:w="4320"/>
          </w:tcPr>
          <w:p>
            <w:r>
              <w:t>Deep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Deep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Middle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Non Passing Play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159.00</w:t>
            </w:r>
          </w:p>
        </w:tc>
        <w:tc>
          <w:tcPr>
            <w:tcW w:type="dxa" w:w="1728"/>
          </w:tcPr>
          <w:p>
            <w:r>
              <w:t>7.72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12.48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25.00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48.6%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72.5%</w:t>
            </w:r>
          </w:p>
        </w:tc>
        <w:tc>
          <w:tcPr>
            <w:tcW w:type="dxa" w:w="2880"/>
          </w:tcPr>
          <w:p>
            <w:r>
              <w:t>27.5%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81.6%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49.3%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54.9%</w:t>
            </w:r>
          </w:p>
        </w:tc>
        <w:tc>
          <w:tcPr>
            <w:tcW w:type="dxa" w:w="2880"/>
          </w:tcPr>
          <w:p>
            <w:r>
              <w:t>45.1%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54.0%</w:t>
            </w:r>
          </w:p>
        </w:tc>
        <w:tc>
          <w:tcPr>
            <w:tcW w:type="dxa" w:w="2880"/>
          </w:tcPr>
          <w:p>
            <w:r>
              <w:t>46.0%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