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D5093C" w14:textId="610E908F" w:rsidR="00B272DD" w:rsidRPr="00270201" w:rsidRDefault="00000000" w:rsidP="00270201">
      <w:pPr>
        <w:pStyle w:val="NormalWeb"/>
        <w:rPr>
          <w:rFonts w:ascii="Garamond" w:hAnsi="Garamond"/>
          <w:sz w:val="22"/>
          <w:szCs w:val="22"/>
        </w:rPr>
      </w:pPr>
      <w:r w:rsidRPr="00270201">
        <w:rPr>
          <w:rFonts w:ascii="Garamond" w:hAnsi="Garamond"/>
          <w:sz w:val="22"/>
          <w:szCs w:val="22"/>
        </w:rPr>
        <w:t>Neil Sarkar, PhD, MLIS, FACMI</w:t>
      </w:r>
      <w:r w:rsidR="009A2F7C" w:rsidRPr="00270201">
        <w:rPr>
          <w:rFonts w:ascii="Garamond" w:hAnsi="Garamond"/>
          <w:sz w:val="22"/>
          <w:szCs w:val="22"/>
        </w:rPr>
        <w:br/>
      </w:r>
      <w:r w:rsidRPr="00270201">
        <w:rPr>
          <w:rFonts w:ascii="Garamond" w:hAnsi="Garamond"/>
          <w:sz w:val="22"/>
          <w:szCs w:val="22"/>
        </w:rPr>
        <w:t>Brown Center for Biomedical Informatics</w:t>
      </w:r>
      <w:r w:rsidR="009A2F7C" w:rsidRPr="00270201">
        <w:rPr>
          <w:rFonts w:ascii="Garamond" w:hAnsi="Garamond"/>
          <w:sz w:val="22"/>
          <w:szCs w:val="22"/>
        </w:rPr>
        <w:br/>
      </w:r>
      <w:r w:rsidRPr="00270201">
        <w:rPr>
          <w:rFonts w:ascii="Garamond" w:hAnsi="Garamond"/>
          <w:sz w:val="22"/>
          <w:szCs w:val="22"/>
        </w:rPr>
        <w:t>Brown University</w:t>
      </w:r>
      <w:r w:rsidR="009A2F7C" w:rsidRPr="00270201">
        <w:rPr>
          <w:rFonts w:ascii="Garamond" w:hAnsi="Garamond"/>
          <w:sz w:val="22"/>
          <w:szCs w:val="22"/>
        </w:rPr>
        <w:br/>
      </w:r>
      <w:r w:rsidRPr="00270201">
        <w:rPr>
          <w:rFonts w:ascii="Garamond" w:hAnsi="Garamond"/>
          <w:sz w:val="22"/>
          <w:szCs w:val="22"/>
        </w:rPr>
        <w:t>Providence, Rhode Island, USA</w:t>
      </w:r>
    </w:p>
    <w:p w14:paraId="76E158C3" w14:textId="2998FCC0" w:rsidR="009A2F7C" w:rsidRPr="00270201" w:rsidRDefault="002719E4" w:rsidP="00270201">
      <w:pPr>
        <w:pStyle w:val="NormalWeb"/>
        <w:rPr>
          <w:rFonts w:ascii="Garamond" w:hAnsi="Garamond"/>
          <w:sz w:val="22"/>
          <w:szCs w:val="22"/>
        </w:rPr>
      </w:pPr>
      <w:r>
        <w:rPr>
          <w:rFonts w:ascii="Garamond" w:hAnsi="Garamond"/>
          <w:sz w:val="22"/>
          <w:szCs w:val="22"/>
        </w:rPr>
        <w:t>26</w:t>
      </w:r>
      <w:r w:rsidR="009A2F7C" w:rsidRPr="00270201">
        <w:rPr>
          <w:rFonts w:ascii="Garamond" w:hAnsi="Garamond"/>
          <w:sz w:val="22"/>
          <w:szCs w:val="22"/>
        </w:rPr>
        <w:t xml:space="preserve"> March 2026</w:t>
      </w:r>
    </w:p>
    <w:p w14:paraId="23CAAC2F" w14:textId="77777777" w:rsidR="00B272DD" w:rsidRPr="00270201" w:rsidRDefault="00000000" w:rsidP="00270201">
      <w:pPr>
        <w:pStyle w:val="NormalWeb"/>
        <w:rPr>
          <w:rFonts w:ascii="Garamond" w:hAnsi="Garamond"/>
          <w:sz w:val="22"/>
          <w:szCs w:val="22"/>
        </w:rPr>
      </w:pPr>
      <w:r w:rsidRPr="00270201">
        <w:rPr>
          <w:rFonts w:ascii="Garamond" w:hAnsi="Garamond"/>
          <w:sz w:val="22"/>
          <w:szCs w:val="22"/>
        </w:rPr>
        <w:t>Dear Dr. Sarkar,</w:t>
      </w:r>
    </w:p>
    <w:p w14:paraId="313C3CF3" w14:textId="77777777" w:rsidR="00B272DD" w:rsidRPr="00270201" w:rsidRDefault="00000000" w:rsidP="00270201">
      <w:pPr>
        <w:pStyle w:val="NormalWeb"/>
        <w:rPr>
          <w:rFonts w:ascii="Garamond" w:hAnsi="Garamond"/>
          <w:sz w:val="22"/>
          <w:szCs w:val="22"/>
        </w:rPr>
      </w:pPr>
      <w:r w:rsidRPr="00270201">
        <w:rPr>
          <w:rFonts w:ascii="Garamond" w:hAnsi="Garamond"/>
          <w:sz w:val="22"/>
          <w:szCs w:val="22"/>
        </w:rPr>
        <w:t>We are excited to submit an original application note entitled “medicalcoder: A Unified and Longitudinally Aware Framework for ICD-Based Comorbidity Assessment in R” for consideration by JAMIA Open.</w:t>
      </w:r>
    </w:p>
    <w:p w14:paraId="21CBC846" w14:textId="77777777" w:rsidR="00270201" w:rsidRPr="00270201" w:rsidRDefault="00270201" w:rsidP="00270201">
      <w:pPr>
        <w:pStyle w:val="NormalWeb"/>
        <w:rPr>
          <w:rFonts w:ascii="Garamond" w:hAnsi="Garamond"/>
          <w:sz w:val="22"/>
          <w:szCs w:val="22"/>
        </w:rPr>
      </w:pPr>
      <w:r w:rsidRPr="00270201">
        <w:rPr>
          <w:rFonts w:ascii="Garamond" w:hAnsi="Garamond"/>
          <w:sz w:val="22"/>
          <w:szCs w:val="22"/>
        </w:rPr>
        <w:t xml:space="preserve">In this application note we present the </w:t>
      </w:r>
      <w:proofErr w:type="spellStart"/>
      <w:r w:rsidRPr="00270201">
        <w:rPr>
          <w:rStyle w:val="Strong"/>
          <w:rFonts w:ascii="Garamond" w:hAnsi="Garamond"/>
          <w:b w:val="0"/>
          <w:bCs w:val="0"/>
          <w:i/>
          <w:iCs/>
          <w:sz w:val="22"/>
          <w:szCs w:val="22"/>
        </w:rPr>
        <w:t>medicalcoder</w:t>
      </w:r>
      <w:proofErr w:type="spellEnd"/>
      <w:r w:rsidRPr="00270201">
        <w:rPr>
          <w:rFonts w:ascii="Garamond" w:hAnsi="Garamond"/>
          <w:sz w:val="22"/>
          <w:szCs w:val="22"/>
        </w:rPr>
        <w:t xml:space="preserve"> R package. Depending only on R ≥ 3.5.0 and importing no additional namespaces, </w:t>
      </w:r>
      <w:proofErr w:type="spellStart"/>
      <w:r w:rsidRPr="00270201">
        <w:rPr>
          <w:rStyle w:val="Emphasis"/>
          <w:rFonts w:ascii="Garamond" w:hAnsi="Garamond"/>
          <w:sz w:val="22"/>
          <w:szCs w:val="22"/>
        </w:rPr>
        <w:t>medicalcoder</w:t>
      </w:r>
      <w:proofErr w:type="spellEnd"/>
      <w:r w:rsidRPr="00270201">
        <w:rPr>
          <w:rFonts w:ascii="Garamond" w:hAnsi="Garamond"/>
          <w:sz w:val="22"/>
          <w:szCs w:val="22"/>
        </w:rPr>
        <w:t xml:space="preserve"> is a fully self-contained package that requires no internet access or supplemental datasets. The package includes a comprehensive internal database of ICD-9 and ICD-10 codes sourced from CDC, CMS, and WHO releases. Through a single function call, </w:t>
      </w:r>
      <w:proofErr w:type="spellStart"/>
      <w:proofErr w:type="gramStart"/>
      <w:r w:rsidRPr="00270201">
        <w:rPr>
          <w:rStyle w:val="HTMLCode"/>
          <w:rFonts w:ascii="Consolas" w:eastAsiaTheme="majorEastAsia" w:hAnsi="Consolas" w:cs="Consolas"/>
        </w:rPr>
        <w:t>medicalcoder</w:t>
      </w:r>
      <w:proofErr w:type="spellEnd"/>
      <w:r w:rsidRPr="00270201">
        <w:rPr>
          <w:rStyle w:val="HTMLCode"/>
          <w:rFonts w:ascii="Consolas" w:eastAsiaTheme="majorEastAsia" w:hAnsi="Consolas" w:cs="Consolas"/>
        </w:rPr>
        <w:t>::comorbidities(</w:t>
      </w:r>
      <w:proofErr w:type="gramEnd"/>
      <w:r w:rsidRPr="00270201">
        <w:rPr>
          <w:rStyle w:val="HTMLCode"/>
          <w:rFonts w:ascii="Consolas" w:eastAsiaTheme="majorEastAsia" w:hAnsi="Consolas" w:cs="Consolas"/>
        </w:rPr>
        <w:t>)</w:t>
      </w:r>
      <w:r w:rsidRPr="00270201">
        <w:rPr>
          <w:rFonts w:ascii="Garamond" w:hAnsi="Garamond"/>
          <w:sz w:val="22"/>
          <w:szCs w:val="22"/>
        </w:rPr>
        <w:t xml:space="preserve">, users can apply any of 17 variants of the Charlson, </w:t>
      </w:r>
      <w:proofErr w:type="spellStart"/>
      <w:r w:rsidRPr="00270201">
        <w:rPr>
          <w:rFonts w:ascii="Garamond" w:hAnsi="Garamond"/>
          <w:sz w:val="22"/>
          <w:szCs w:val="22"/>
        </w:rPr>
        <w:t>Elixhauser</w:t>
      </w:r>
      <w:proofErr w:type="spellEnd"/>
      <w:r w:rsidRPr="00270201">
        <w:rPr>
          <w:rFonts w:ascii="Garamond" w:hAnsi="Garamond"/>
          <w:sz w:val="22"/>
          <w:szCs w:val="22"/>
        </w:rPr>
        <w:t>, and Pediatric Complex Chronic Conditions comorbidity algorithms.</w:t>
      </w:r>
    </w:p>
    <w:p w14:paraId="21CEEF16" w14:textId="43E9044D" w:rsidR="00270201" w:rsidRPr="00270201" w:rsidRDefault="00270201" w:rsidP="00270201">
      <w:pPr>
        <w:pStyle w:val="NormalWeb"/>
        <w:rPr>
          <w:rFonts w:ascii="Garamond" w:hAnsi="Garamond"/>
          <w:sz w:val="22"/>
          <w:szCs w:val="22"/>
        </w:rPr>
      </w:pPr>
      <w:r w:rsidRPr="00270201">
        <w:rPr>
          <w:rFonts w:ascii="Garamond" w:hAnsi="Garamond"/>
          <w:sz w:val="22"/>
          <w:szCs w:val="22"/>
        </w:rPr>
        <w:t xml:space="preserve">A key contribution of </w:t>
      </w:r>
      <w:proofErr w:type="spellStart"/>
      <w:r w:rsidRPr="00270201">
        <w:rPr>
          <w:rStyle w:val="Emphasis"/>
          <w:rFonts w:ascii="Garamond" w:hAnsi="Garamond"/>
          <w:sz w:val="22"/>
          <w:szCs w:val="22"/>
        </w:rPr>
        <w:t>medicalcoder</w:t>
      </w:r>
      <w:proofErr w:type="spellEnd"/>
      <w:r w:rsidRPr="00270201">
        <w:rPr>
          <w:rFonts w:ascii="Garamond" w:hAnsi="Garamond"/>
          <w:sz w:val="22"/>
          <w:szCs w:val="22"/>
        </w:rPr>
        <w:t xml:space="preserve"> is its ability to account for longitudinal patient histories. </w:t>
      </w:r>
      <w:r w:rsidR="00564E2C" w:rsidRPr="00564E2C">
        <w:rPr>
          <w:rFonts w:ascii="Garamond" w:hAnsi="Garamond"/>
          <w:sz w:val="22"/>
          <w:szCs w:val="22"/>
        </w:rPr>
        <w:t>Chronic conditions such as cancer or diabetes are flagged not only at the encounter where they are coded but across subsequent encounters in a patient’s record</w:t>
      </w:r>
      <w:r w:rsidRPr="00270201">
        <w:rPr>
          <w:rFonts w:ascii="Garamond" w:hAnsi="Garamond"/>
          <w:sz w:val="22"/>
          <w:szCs w:val="22"/>
        </w:rPr>
        <w:t>, improving the sensitivity of comorbidity identification compared with encounter-level approaches.</w:t>
      </w:r>
    </w:p>
    <w:p w14:paraId="1AB6E7AD" w14:textId="77777777" w:rsidR="00270201" w:rsidRPr="00270201" w:rsidRDefault="00270201" w:rsidP="00270201">
      <w:pPr>
        <w:pStyle w:val="NormalWeb"/>
        <w:rPr>
          <w:rFonts w:ascii="Garamond" w:hAnsi="Garamond"/>
          <w:sz w:val="22"/>
          <w:szCs w:val="22"/>
        </w:rPr>
      </w:pPr>
      <w:r w:rsidRPr="00270201">
        <w:rPr>
          <w:rFonts w:ascii="Garamond" w:hAnsi="Garamond"/>
          <w:sz w:val="22"/>
          <w:szCs w:val="22"/>
        </w:rPr>
        <w:t xml:space="preserve">Reliable comorbidity assessment is essential for risk adjustment, cohort construction, and reproducible clinical research using electronic health record and administrative data. By providing a unified interface, internal code database, and longitudinal flagging framework in a fully portable implementation, </w:t>
      </w:r>
      <w:proofErr w:type="spellStart"/>
      <w:r w:rsidRPr="00270201">
        <w:rPr>
          <w:rStyle w:val="Emphasis"/>
          <w:rFonts w:ascii="Garamond" w:hAnsi="Garamond"/>
          <w:sz w:val="22"/>
          <w:szCs w:val="22"/>
        </w:rPr>
        <w:t>medicalcoder</w:t>
      </w:r>
      <w:proofErr w:type="spellEnd"/>
      <w:r w:rsidRPr="00270201">
        <w:rPr>
          <w:rFonts w:ascii="Garamond" w:hAnsi="Garamond"/>
          <w:sz w:val="22"/>
          <w:szCs w:val="22"/>
        </w:rPr>
        <w:t xml:space="preserve"> aims to make these widely used algorithms easier to apply consistently across diverse clinical data environments.</w:t>
      </w:r>
    </w:p>
    <w:p w14:paraId="21D98EEB" w14:textId="77777777" w:rsidR="00B272DD" w:rsidRPr="00270201" w:rsidRDefault="00000000" w:rsidP="00270201">
      <w:pPr>
        <w:pStyle w:val="NormalWeb"/>
        <w:rPr>
          <w:rFonts w:ascii="Garamond" w:hAnsi="Garamond"/>
          <w:sz w:val="22"/>
          <w:szCs w:val="22"/>
        </w:rPr>
      </w:pPr>
      <w:r w:rsidRPr="00270201">
        <w:rPr>
          <w:rFonts w:ascii="Garamond" w:hAnsi="Garamond"/>
          <w:sz w:val="22"/>
          <w:szCs w:val="22"/>
        </w:rPr>
        <w:t>We confirm that this work is original, has not been previously published elsewhere, and is not under consideration by another publication. We will not submit the material for consideration by another journal until the completion of the editorial decision process at JAMIA Open. We have no conflicts of interest to disclose.</w:t>
      </w:r>
    </w:p>
    <w:p w14:paraId="41027C70" w14:textId="77777777" w:rsidR="00B272DD" w:rsidRPr="00270201" w:rsidRDefault="00000000" w:rsidP="00270201">
      <w:pPr>
        <w:pStyle w:val="NormalWeb"/>
        <w:rPr>
          <w:rFonts w:ascii="Garamond" w:hAnsi="Garamond"/>
          <w:sz w:val="22"/>
          <w:szCs w:val="22"/>
        </w:rPr>
      </w:pPr>
      <w:r w:rsidRPr="00270201">
        <w:rPr>
          <w:rFonts w:ascii="Garamond" w:hAnsi="Garamond"/>
          <w:sz w:val="22"/>
          <w:szCs w:val="22"/>
        </w:rPr>
        <w:t>Thank you for your consideration of this application note.</w:t>
      </w:r>
    </w:p>
    <w:p w14:paraId="176CA52A" w14:textId="77777777" w:rsidR="00B272DD" w:rsidRPr="00270201" w:rsidRDefault="00000000" w:rsidP="00270201">
      <w:pPr>
        <w:pStyle w:val="NormalWeb"/>
        <w:rPr>
          <w:rFonts w:ascii="Garamond" w:hAnsi="Garamond"/>
          <w:sz w:val="22"/>
          <w:szCs w:val="22"/>
        </w:rPr>
      </w:pPr>
      <w:r w:rsidRPr="00270201">
        <w:rPr>
          <w:rFonts w:ascii="Garamond" w:hAnsi="Garamond"/>
          <w:sz w:val="22"/>
          <w:szCs w:val="22"/>
        </w:rPr>
        <w:t>Sincerely,</w:t>
      </w:r>
    </w:p>
    <w:p w14:paraId="063AFA67" w14:textId="77777777" w:rsidR="00001D7C" w:rsidRPr="00270201" w:rsidRDefault="00001D7C" w:rsidP="00270201">
      <w:pPr>
        <w:pStyle w:val="NormalWeb"/>
        <w:rPr>
          <w:rFonts w:ascii="Garamond" w:hAnsi="Garamond"/>
          <w:sz w:val="22"/>
          <w:szCs w:val="22"/>
        </w:rPr>
      </w:pPr>
    </w:p>
    <w:p w14:paraId="44A7F2E4" w14:textId="607008DB" w:rsidR="00B272DD" w:rsidRPr="00270201" w:rsidRDefault="00000000" w:rsidP="00270201">
      <w:pPr>
        <w:pStyle w:val="NormalWeb"/>
        <w:rPr>
          <w:rFonts w:ascii="Garamond" w:hAnsi="Garamond"/>
          <w:sz w:val="22"/>
          <w:szCs w:val="22"/>
        </w:rPr>
      </w:pPr>
      <w:r w:rsidRPr="00270201">
        <w:rPr>
          <w:rFonts w:ascii="Garamond" w:hAnsi="Garamond"/>
          <w:sz w:val="22"/>
          <w:szCs w:val="22"/>
        </w:rPr>
        <w:t>Peter E. DeWitt, PhD</w:t>
      </w:r>
      <w:r w:rsidR="00001D7C" w:rsidRPr="00270201">
        <w:rPr>
          <w:rFonts w:ascii="Garamond" w:hAnsi="Garamond"/>
          <w:sz w:val="22"/>
          <w:szCs w:val="22"/>
        </w:rPr>
        <w:br/>
      </w:r>
      <w:r w:rsidRPr="00270201">
        <w:rPr>
          <w:rFonts w:ascii="Garamond" w:hAnsi="Garamond"/>
          <w:sz w:val="22"/>
          <w:szCs w:val="22"/>
        </w:rPr>
        <w:t>Assistant Research Professor</w:t>
      </w:r>
      <w:r w:rsidR="00001D7C" w:rsidRPr="00270201">
        <w:rPr>
          <w:rFonts w:ascii="Garamond" w:hAnsi="Garamond"/>
          <w:sz w:val="22"/>
          <w:szCs w:val="22"/>
        </w:rPr>
        <w:br/>
      </w:r>
      <w:r w:rsidRPr="00270201">
        <w:rPr>
          <w:rFonts w:ascii="Garamond" w:hAnsi="Garamond"/>
          <w:sz w:val="22"/>
          <w:szCs w:val="22"/>
        </w:rPr>
        <w:t>peter.dewitt@cuanschutz.edu</w:t>
      </w:r>
    </w:p>
    <w:p w14:paraId="68159397" w14:textId="77777777" w:rsidR="00001D7C" w:rsidRPr="00270201" w:rsidRDefault="00001D7C" w:rsidP="00270201">
      <w:pPr>
        <w:pStyle w:val="NormalWeb"/>
        <w:rPr>
          <w:rFonts w:ascii="Garamond" w:hAnsi="Garamond"/>
          <w:sz w:val="22"/>
          <w:szCs w:val="22"/>
        </w:rPr>
      </w:pPr>
      <w:r w:rsidRPr="00270201">
        <w:rPr>
          <w:rFonts w:ascii="Garamond" w:hAnsi="Garamond"/>
          <w:sz w:val="22"/>
          <w:szCs w:val="22"/>
        </w:rPr>
        <w:t xml:space="preserve">On behalf of co-authors: </w:t>
      </w:r>
    </w:p>
    <w:p w14:paraId="58855A29" w14:textId="2137E8AE" w:rsidR="00B272DD" w:rsidRPr="00270201" w:rsidRDefault="00000000" w:rsidP="00270201">
      <w:pPr>
        <w:pStyle w:val="NormalWeb"/>
        <w:rPr>
          <w:rFonts w:ascii="Garamond" w:hAnsi="Garamond"/>
          <w:sz w:val="22"/>
          <w:szCs w:val="22"/>
        </w:rPr>
      </w:pPr>
      <w:r w:rsidRPr="00270201">
        <w:rPr>
          <w:rFonts w:ascii="Garamond" w:hAnsi="Garamond"/>
          <w:sz w:val="22"/>
          <w:szCs w:val="22"/>
        </w:rPr>
        <w:t>Seth Russell, MS</w:t>
      </w:r>
      <w:r w:rsidR="00001D7C" w:rsidRPr="00270201">
        <w:rPr>
          <w:rFonts w:ascii="Garamond" w:hAnsi="Garamond"/>
          <w:sz w:val="22"/>
          <w:szCs w:val="22"/>
        </w:rPr>
        <w:t xml:space="preserve">; </w:t>
      </w:r>
      <w:r w:rsidR="007817F3">
        <w:rPr>
          <w:rFonts w:ascii="Garamond" w:hAnsi="Garamond"/>
          <w:sz w:val="22"/>
          <w:szCs w:val="22"/>
        </w:rPr>
        <w:t xml:space="preserve">James A. Feinstein, MD, MPH; </w:t>
      </w:r>
      <w:r w:rsidRPr="00270201">
        <w:rPr>
          <w:rFonts w:ascii="Garamond" w:hAnsi="Garamond"/>
          <w:sz w:val="22"/>
          <w:szCs w:val="22"/>
        </w:rPr>
        <w:t xml:space="preserve">Margaret N. </w:t>
      </w:r>
      <w:proofErr w:type="spellStart"/>
      <w:r w:rsidRPr="00270201">
        <w:rPr>
          <w:rFonts w:ascii="Garamond" w:hAnsi="Garamond"/>
          <w:sz w:val="22"/>
          <w:szCs w:val="22"/>
        </w:rPr>
        <w:t>Rebull</w:t>
      </w:r>
      <w:proofErr w:type="spellEnd"/>
      <w:r w:rsidRPr="00270201">
        <w:rPr>
          <w:rFonts w:ascii="Garamond" w:hAnsi="Garamond"/>
          <w:sz w:val="22"/>
          <w:szCs w:val="22"/>
        </w:rPr>
        <w:t>, MA</w:t>
      </w:r>
      <w:r w:rsidR="00001D7C" w:rsidRPr="00270201">
        <w:rPr>
          <w:rFonts w:ascii="Garamond" w:hAnsi="Garamond"/>
          <w:sz w:val="22"/>
          <w:szCs w:val="22"/>
        </w:rPr>
        <w:t xml:space="preserve">; and </w:t>
      </w:r>
      <w:r w:rsidRPr="00270201">
        <w:rPr>
          <w:rFonts w:ascii="Garamond" w:hAnsi="Garamond"/>
          <w:sz w:val="22"/>
          <w:szCs w:val="22"/>
        </w:rPr>
        <w:t>Tellen D. Bennett, MD, MS</w:t>
      </w:r>
    </w:p>
    <w:sectPr w:rsidR="00B272DD" w:rsidRPr="00270201">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B686B23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7583559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B272DD"/>
    <w:rsid w:val="00001D7C"/>
    <w:rsid w:val="00270201"/>
    <w:rsid w:val="002719E4"/>
    <w:rsid w:val="00564E2C"/>
    <w:rsid w:val="00744B3D"/>
    <w:rsid w:val="007817F3"/>
    <w:rsid w:val="009A2F7C"/>
    <w:rsid w:val="00B272DD"/>
    <w:rsid w:val="00BA44DA"/>
    <w:rsid w:val="00D2659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74CFE56"/>
  <w15:docId w15:val="{A6C7F210-625B-D74C-84C3-2258BD508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Strong" w:uiPriority="22" w:qFormat="1"/>
    <w:lsdException w:name="Emphasis" w:uiPriority="20" w:qFormat="1"/>
    <w:lsdException w:name="Normal (Web)" w:uiPriority="99"/>
    <w:lsdException w:name="HTML Code"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1F3F5"/>
      <w:wordWrap w:val="0"/>
    </w:pPr>
  </w:style>
  <w:style w:type="character" w:customStyle="1" w:styleId="KeywordTok">
    <w:name w:val="KeywordTok"/>
    <w:basedOn w:val="VerbatimChar"/>
    <w:rPr>
      <w:rFonts w:ascii="Consolas" w:hAnsi="Consolas"/>
      <w:b/>
      <w:color w:val="003B4F"/>
      <w:sz w:val="22"/>
      <w:shd w:val="clear" w:color="auto" w:fill="F1F3F5"/>
    </w:rPr>
  </w:style>
  <w:style w:type="character" w:customStyle="1" w:styleId="DataTypeTok">
    <w:name w:val="DataTypeTok"/>
    <w:basedOn w:val="VerbatimChar"/>
    <w:rPr>
      <w:rFonts w:ascii="Consolas" w:hAnsi="Consolas"/>
      <w:color w:val="AD0000"/>
      <w:sz w:val="22"/>
      <w:shd w:val="clear" w:color="auto" w:fill="F1F3F5"/>
    </w:rPr>
  </w:style>
  <w:style w:type="character" w:customStyle="1" w:styleId="DecValTok">
    <w:name w:val="DecValTok"/>
    <w:basedOn w:val="VerbatimChar"/>
    <w:rPr>
      <w:rFonts w:ascii="Consolas" w:hAnsi="Consolas"/>
      <w:color w:val="AD0000"/>
      <w:sz w:val="22"/>
      <w:shd w:val="clear" w:color="auto" w:fill="F1F3F5"/>
    </w:rPr>
  </w:style>
  <w:style w:type="character" w:customStyle="1" w:styleId="BaseNTok">
    <w:name w:val="BaseNTok"/>
    <w:basedOn w:val="VerbatimChar"/>
    <w:rPr>
      <w:rFonts w:ascii="Consolas" w:hAnsi="Consolas"/>
      <w:color w:val="AD0000"/>
      <w:sz w:val="22"/>
      <w:shd w:val="clear" w:color="auto" w:fill="F1F3F5"/>
    </w:rPr>
  </w:style>
  <w:style w:type="character" w:customStyle="1" w:styleId="FloatTok">
    <w:name w:val="FloatTok"/>
    <w:basedOn w:val="VerbatimChar"/>
    <w:rPr>
      <w:rFonts w:ascii="Consolas" w:hAnsi="Consolas"/>
      <w:color w:val="AD0000"/>
      <w:sz w:val="22"/>
      <w:shd w:val="clear" w:color="auto" w:fill="F1F3F5"/>
    </w:rPr>
  </w:style>
  <w:style w:type="character" w:customStyle="1" w:styleId="ConstantTok">
    <w:name w:val="ConstantTok"/>
    <w:basedOn w:val="VerbatimChar"/>
    <w:rPr>
      <w:rFonts w:ascii="Consolas" w:hAnsi="Consolas"/>
      <w:color w:val="8F5902"/>
      <w:sz w:val="22"/>
      <w:shd w:val="clear" w:color="auto" w:fill="F1F3F5"/>
    </w:rPr>
  </w:style>
  <w:style w:type="character" w:customStyle="1" w:styleId="CharTok">
    <w:name w:val="CharTok"/>
    <w:basedOn w:val="VerbatimChar"/>
    <w:rPr>
      <w:rFonts w:ascii="Consolas" w:hAnsi="Consolas"/>
      <w:color w:val="20794D"/>
      <w:sz w:val="22"/>
      <w:shd w:val="clear" w:color="auto" w:fill="F1F3F5"/>
    </w:rPr>
  </w:style>
  <w:style w:type="character" w:customStyle="1" w:styleId="SpecialCharTok">
    <w:name w:val="SpecialCharTok"/>
    <w:basedOn w:val="VerbatimChar"/>
    <w:rPr>
      <w:rFonts w:ascii="Consolas" w:hAnsi="Consolas"/>
      <w:color w:val="5E5E5E"/>
      <w:sz w:val="22"/>
      <w:shd w:val="clear" w:color="auto" w:fill="F1F3F5"/>
    </w:rPr>
  </w:style>
  <w:style w:type="character" w:customStyle="1" w:styleId="StringTok">
    <w:name w:val="StringTok"/>
    <w:basedOn w:val="VerbatimChar"/>
    <w:rPr>
      <w:rFonts w:ascii="Consolas" w:hAnsi="Consolas"/>
      <w:color w:val="20794D"/>
      <w:sz w:val="22"/>
      <w:shd w:val="clear" w:color="auto" w:fill="F1F3F5"/>
    </w:rPr>
  </w:style>
  <w:style w:type="character" w:customStyle="1" w:styleId="VerbatimStringTok">
    <w:name w:val="VerbatimStringTok"/>
    <w:basedOn w:val="VerbatimChar"/>
    <w:rPr>
      <w:rFonts w:ascii="Consolas" w:hAnsi="Consolas"/>
      <w:color w:val="20794D"/>
      <w:sz w:val="22"/>
      <w:shd w:val="clear" w:color="auto" w:fill="F1F3F5"/>
    </w:rPr>
  </w:style>
  <w:style w:type="character" w:customStyle="1" w:styleId="SpecialStringTok">
    <w:name w:val="SpecialStringTok"/>
    <w:basedOn w:val="VerbatimChar"/>
    <w:rPr>
      <w:rFonts w:ascii="Consolas" w:hAnsi="Consolas"/>
      <w:color w:val="20794D"/>
      <w:sz w:val="22"/>
      <w:shd w:val="clear" w:color="auto" w:fill="F1F3F5"/>
    </w:rPr>
  </w:style>
  <w:style w:type="character" w:customStyle="1" w:styleId="ImportTok">
    <w:name w:val="ImportTok"/>
    <w:basedOn w:val="VerbatimChar"/>
    <w:rPr>
      <w:rFonts w:ascii="Consolas" w:hAnsi="Consolas"/>
      <w:color w:val="00769E"/>
      <w:sz w:val="22"/>
      <w:shd w:val="clear" w:color="auto" w:fill="F1F3F5"/>
    </w:rPr>
  </w:style>
  <w:style w:type="character" w:customStyle="1" w:styleId="CommentTok">
    <w:name w:val="CommentTok"/>
    <w:basedOn w:val="VerbatimChar"/>
    <w:rPr>
      <w:rFonts w:ascii="Consolas" w:hAnsi="Consolas"/>
      <w:color w:val="5E5E5E"/>
      <w:sz w:val="22"/>
      <w:shd w:val="clear" w:color="auto" w:fill="F1F3F5"/>
    </w:rPr>
  </w:style>
  <w:style w:type="character" w:customStyle="1" w:styleId="DocumentationTok">
    <w:name w:val="DocumentationTok"/>
    <w:basedOn w:val="VerbatimChar"/>
    <w:rPr>
      <w:rFonts w:ascii="Consolas" w:hAnsi="Consolas"/>
      <w:i/>
      <w:color w:val="5E5E5E"/>
      <w:sz w:val="22"/>
      <w:shd w:val="clear" w:color="auto" w:fill="F1F3F5"/>
    </w:rPr>
  </w:style>
  <w:style w:type="character" w:customStyle="1" w:styleId="AnnotationTok">
    <w:name w:val="AnnotationTok"/>
    <w:basedOn w:val="VerbatimChar"/>
    <w:rPr>
      <w:rFonts w:ascii="Consolas" w:hAnsi="Consolas"/>
      <w:color w:val="5E5E5E"/>
      <w:sz w:val="22"/>
      <w:shd w:val="clear" w:color="auto" w:fill="F1F3F5"/>
    </w:rPr>
  </w:style>
  <w:style w:type="character" w:customStyle="1" w:styleId="CommentVarTok">
    <w:name w:val="CommentVarTok"/>
    <w:basedOn w:val="VerbatimChar"/>
    <w:rPr>
      <w:rFonts w:ascii="Consolas" w:hAnsi="Consolas"/>
      <w:i/>
      <w:color w:val="5E5E5E"/>
      <w:sz w:val="22"/>
      <w:shd w:val="clear" w:color="auto" w:fill="F1F3F5"/>
    </w:rPr>
  </w:style>
  <w:style w:type="character" w:customStyle="1" w:styleId="OtherTok">
    <w:name w:val="OtherTok"/>
    <w:basedOn w:val="VerbatimChar"/>
    <w:rPr>
      <w:rFonts w:ascii="Consolas" w:hAnsi="Consolas"/>
      <w:color w:val="003B4F"/>
      <w:sz w:val="22"/>
      <w:shd w:val="clear" w:color="auto" w:fill="F1F3F5"/>
    </w:rPr>
  </w:style>
  <w:style w:type="character" w:customStyle="1" w:styleId="FunctionTok">
    <w:name w:val="FunctionTok"/>
    <w:basedOn w:val="VerbatimChar"/>
    <w:rPr>
      <w:rFonts w:ascii="Consolas" w:hAnsi="Consolas"/>
      <w:color w:val="4758AB"/>
      <w:sz w:val="22"/>
      <w:shd w:val="clear" w:color="auto" w:fill="F1F3F5"/>
    </w:rPr>
  </w:style>
  <w:style w:type="character" w:customStyle="1" w:styleId="VariableTok">
    <w:name w:val="VariableTok"/>
    <w:basedOn w:val="VerbatimChar"/>
    <w:rPr>
      <w:rFonts w:ascii="Consolas" w:hAnsi="Consolas"/>
      <w:color w:val="111111"/>
      <w:sz w:val="22"/>
      <w:shd w:val="clear" w:color="auto" w:fill="F1F3F5"/>
    </w:rPr>
  </w:style>
  <w:style w:type="character" w:customStyle="1" w:styleId="ControlFlowTok">
    <w:name w:val="ControlFlowTok"/>
    <w:basedOn w:val="VerbatimChar"/>
    <w:rPr>
      <w:rFonts w:ascii="Consolas" w:hAnsi="Consolas"/>
      <w:b/>
      <w:color w:val="003B4F"/>
      <w:sz w:val="22"/>
      <w:shd w:val="clear" w:color="auto" w:fill="F1F3F5"/>
    </w:rPr>
  </w:style>
  <w:style w:type="character" w:customStyle="1" w:styleId="OperatorTok">
    <w:name w:val="OperatorTok"/>
    <w:basedOn w:val="VerbatimChar"/>
    <w:rPr>
      <w:rFonts w:ascii="Consolas" w:hAnsi="Consolas"/>
      <w:color w:val="5E5E5E"/>
      <w:sz w:val="22"/>
      <w:shd w:val="clear" w:color="auto" w:fill="F1F3F5"/>
    </w:rPr>
  </w:style>
  <w:style w:type="character" w:customStyle="1" w:styleId="BuiltInTok">
    <w:name w:val="BuiltInTok"/>
    <w:basedOn w:val="VerbatimChar"/>
    <w:rPr>
      <w:rFonts w:ascii="Consolas" w:hAnsi="Consolas"/>
      <w:color w:val="003B4F"/>
      <w:sz w:val="22"/>
      <w:shd w:val="clear" w:color="auto" w:fill="F1F3F5"/>
    </w:rPr>
  </w:style>
  <w:style w:type="character" w:customStyle="1" w:styleId="ExtensionTok">
    <w:name w:val="ExtensionTok"/>
    <w:basedOn w:val="VerbatimChar"/>
    <w:rPr>
      <w:rFonts w:ascii="Consolas" w:hAnsi="Consolas"/>
      <w:color w:val="003B4F"/>
      <w:sz w:val="22"/>
      <w:shd w:val="clear" w:color="auto" w:fill="F1F3F5"/>
    </w:rPr>
  </w:style>
  <w:style w:type="character" w:customStyle="1" w:styleId="PreprocessorTok">
    <w:name w:val="PreprocessorTok"/>
    <w:basedOn w:val="VerbatimChar"/>
    <w:rPr>
      <w:rFonts w:ascii="Consolas" w:hAnsi="Consolas"/>
      <w:color w:val="AD0000"/>
      <w:sz w:val="22"/>
      <w:shd w:val="clear" w:color="auto" w:fill="F1F3F5"/>
    </w:rPr>
  </w:style>
  <w:style w:type="character" w:customStyle="1" w:styleId="AttributeTok">
    <w:name w:val="AttributeTok"/>
    <w:basedOn w:val="VerbatimChar"/>
    <w:rPr>
      <w:rFonts w:ascii="Consolas" w:hAnsi="Consolas"/>
      <w:color w:val="657422"/>
      <w:sz w:val="22"/>
      <w:shd w:val="clear" w:color="auto" w:fill="F1F3F5"/>
    </w:rPr>
  </w:style>
  <w:style w:type="character" w:customStyle="1" w:styleId="RegionMarkerTok">
    <w:name w:val="RegionMarkerTok"/>
    <w:basedOn w:val="VerbatimChar"/>
    <w:rPr>
      <w:rFonts w:ascii="Consolas" w:hAnsi="Consolas"/>
      <w:color w:val="003B4F"/>
      <w:sz w:val="22"/>
      <w:shd w:val="clear" w:color="auto" w:fill="F1F3F5"/>
    </w:rPr>
  </w:style>
  <w:style w:type="character" w:customStyle="1" w:styleId="InformationTok">
    <w:name w:val="InformationTok"/>
    <w:basedOn w:val="VerbatimChar"/>
    <w:rPr>
      <w:rFonts w:ascii="Consolas" w:hAnsi="Consolas"/>
      <w:color w:val="5E5E5E"/>
      <w:sz w:val="22"/>
      <w:shd w:val="clear" w:color="auto" w:fill="F1F3F5"/>
    </w:rPr>
  </w:style>
  <w:style w:type="character" w:customStyle="1" w:styleId="WarningTok">
    <w:name w:val="WarningTok"/>
    <w:basedOn w:val="VerbatimChar"/>
    <w:rPr>
      <w:rFonts w:ascii="Consolas" w:hAnsi="Consolas"/>
      <w:i/>
      <w:color w:val="5E5E5E"/>
      <w:sz w:val="22"/>
      <w:shd w:val="clear" w:color="auto" w:fill="F1F3F5"/>
    </w:rPr>
  </w:style>
  <w:style w:type="character" w:customStyle="1" w:styleId="AlertTok">
    <w:name w:val="AlertTok"/>
    <w:basedOn w:val="VerbatimChar"/>
    <w:rPr>
      <w:rFonts w:ascii="Consolas" w:hAnsi="Consolas"/>
      <w:color w:val="AD0000"/>
      <w:sz w:val="22"/>
      <w:shd w:val="clear" w:color="auto" w:fill="F1F3F5"/>
    </w:rPr>
  </w:style>
  <w:style w:type="character" w:customStyle="1" w:styleId="ErrorTok">
    <w:name w:val="ErrorTok"/>
    <w:basedOn w:val="VerbatimChar"/>
    <w:rPr>
      <w:rFonts w:ascii="Consolas" w:hAnsi="Consolas"/>
      <w:color w:val="AD0000"/>
      <w:sz w:val="22"/>
      <w:shd w:val="clear" w:color="auto" w:fill="F1F3F5"/>
    </w:rPr>
  </w:style>
  <w:style w:type="character" w:customStyle="1" w:styleId="NormalTok">
    <w:name w:val="NormalTok"/>
    <w:basedOn w:val="VerbatimChar"/>
    <w:rPr>
      <w:rFonts w:ascii="Consolas" w:hAnsi="Consolas"/>
      <w:color w:val="003B4F"/>
      <w:sz w:val="22"/>
      <w:shd w:val="clear" w:color="auto" w:fill="F1F3F5"/>
    </w:rPr>
  </w:style>
  <w:style w:type="paragraph" w:styleId="NormalWeb">
    <w:name w:val="Normal (Web)"/>
    <w:basedOn w:val="Normal"/>
    <w:uiPriority w:val="99"/>
    <w:unhideWhenUsed/>
    <w:rsid w:val="00270201"/>
    <w:pPr>
      <w:spacing w:before="100" w:beforeAutospacing="1" w:after="100" w:afterAutospacing="1"/>
    </w:pPr>
    <w:rPr>
      <w:rFonts w:ascii="Times New Roman" w:eastAsia="Times New Roman" w:hAnsi="Times New Roman" w:cs="Times New Roman"/>
    </w:rPr>
  </w:style>
  <w:style w:type="character" w:styleId="Strong">
    <w:name w:val="Strong"/>
    <w:basedOn w:val="DefaultParagraphFont"/>
    <w:uiPriority w:val="22"/>
    <w:qFormat/>
    <w:rsid w:val="00270201"/>
    <w:rPr>
      <w:b/>
      <w:bCs/>
    </w:rPr>
  </w:style>
  <w:style w:type="character" w:styleId="Emphasis">
    <w:name w:val="Emphasis"/>
    <w:basedOn w:val="DefaultParagraphFont"/>
    <w:uiPriority w:val="20"/>
    <w:qFormat/>
    <w:rsid w:val="00270201"/>
    <w:rPr>
      <w:i/>
      <w:iCs/>
    </w:rPr>
  </w:style>
  <w:style w:type="character" w:styleId="HTMLCode">
    <w:name w:val="HTML Code"/>
    <w:basedOn w:val="DefaultParagraphFont"/>
    <w:uiPriority w:val="99"/>
    <w:unhideWhenUsed/>
    <w:rsid w:val="0027020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47</TotalTime>
  <Pages>1</Pages>
  <Words>324</Words>
  <Characters>1964</Characters>
  <Application>Microsoft Office Word</Application>
  <DocSecurity>0</DocSecurity>
  <Lines>35</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DeWitt, Peter</cp:lastModifiedBy>
  <cp:revision>5</cp:revision>
  <dcterms:created xsi:type="dcterms:W3CDTF">2026-03-14T16:18:00Z</dcterms:created>
  <dcterms:modified xsi:type="dcterms:W3CDTF">2026-03-26T16:50:00Z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