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1983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2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correctly classified.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8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</w:t>
      </w:r>
      <w:r>
        <w:t xml:space="preserve"> </w:t>
      </w:r>
      <w:r>
        <w:t xml:space="preserve">and tightly controled system settings and software. No external namespaces are imported; R ≥</w:t>
      </w:r>
      <w:r>
        <w:t xml:space="preserve"> </w:t>
      </w:r>
      <w:r>
        <w:t xml:space="preserve">3.5.0 is the only required dependency, reflecting changes to R’s serialization</w:t>
      </w:r>
      <w:r>
        <w:t xml:space="preserve"> </w:t>
      </w:r>
      <w:r>
        <w:t xml:space="preserve">format introduced in that version</w:t>
      </w:r>
      <w:r>
        <w:rPr>
          <w:rStyle w:val="FootnoteReference"/>
        </w:rPr>
        <w:footnoteReference w:id="13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4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17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8"/>
    <w:bookmarkStart w:id="19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 id.vars is optional: if</w:t>
      </w:r>
      <w:r>
        <w:t xml:space="preserve"> </w:t>
      </w:r>
      <w:r>
        <w:t xml:space="preserve">omitted, the entire dataset is treated as a single encounter and a single row of</w:t>
      </w:r>
      <w:r>
        <w:t xml:space="preserve"> </w:t>
      </w:r>
      <w:r>
        <w:t xml:space="preserve">flags is 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</w:t>
      </w:r>
      <w:r>
        <w:t xml:space="preserve"> </w:t>
      </w:r>
      <w:r>
        <w:t xml:space="preserve">and class consistent with the input. The returned data frame contains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columns and an indicator column for each comorbidity.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 Accumulation of of encounter-level flags is insufficient to</w:t>
      </w:r>
      <w:r>
        <w:t xml:space="preserve"> </w:t>
      </w:r>
      <w:r>
        <w:t xml:space="preserve">capture comorbidities and/or the severity of disease.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For 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Naïve post hoc accumulation of encounter-level flags can miss conditions.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includes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has details on benchmarking</w:t>
      </w:r>
      <w:r>
        <w:t xml:space="preserve"> </w:t>
      </w:r>
      <w:r>
        <w:t xml:space="preserve">by input data class and size.</w:t>
      </w:r>
    </w:p>
    <w:p>
      <w:pPr>
        <w:pStyle w:val="BodyText"/>
      </w:pPr>
      <w:r>
        <w:t xml:space="preserve">In addition to the comorbidity interface,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several ICD</w:t>
      </w:r>
      <w:r>
        <w:t xml:space="preserve"> </w:t>
      </w:r>
      <w:r>
        <w:t xml:space="preserve">utility functions designed to support data preparation and validation workflows.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</w:t>
      </w:r>
      <w:r>
        <w:t xml:space="preserve"> </w:t>
      </w:r>
      <w:r>
        <w:t xml:space="preserve">and allows users to retrieve diagnostic or procedure codes by version, type, and</w:t>
      </w:r>
      <w:r>
        <w:t xml:space="preserve"> </w:t>
      </w:r>
      <w:r>
        <w:t xml:space="preserve">code range. The function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provides fast validation of</w:t>
      </w:r>
      <w:r>
        <w:t xml:space="preserve"> </w:t>
      </w:r>
      <w:r>
        <w:t xml:space="preserve">candidate ICD codes, supporting both full and compact representations and mixed</w:t>
      </w:r>
      <w:r>
        <w:t xml:space="preserve"> </w:t>
      </w:r>
      <w:r>
        <w:t xml:space="preserve">ICD-9/ICD-10 datasets. These utilities enable users to inspect and verify ICD</w:t>
      </w:r>
      <w:r>
        <w:t xml:space="preserve"> </w:t>
      </w:r>
      <w:r>
        <w:t xml:space="preserve">content prior to comorbidity classification and to construct reproducible code</w:t>
      </w:r>
      <w:r>
        <w:t xml:space="preserve"> </w:t>
      </w:r>
      <w:r>
        <w:t xml:space="preserve">filters directly from the same internal database used by the comorbidity</w:t>
      </w:r>
      <w:r>
        <w:t xml:space="preserve"> </w:t>
      </w:r>
      <w:r>
        <w:t xml:space="preserve">algorithms.</w:t>
      </w:r>
    </w:p>
    <w:bookmarkEnd w:id="19"/>
    <w:bookmarkStart w:id="2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Although the primary focus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comorbidity classification, the</w:t>
      </w:r>
      <w:r>
        <w:t xml:space="preserve"> </w:t>
      </w:r>
      <w:r>
        <w:t xml:space="preserve">included ICD utility functions also address a common practical challenge in</w:t>
      </w:r>
      <w:r>
        <w:t xml:space="preserve"> </w:t>
      </w:r>
      <w:r>
        <w:t xml:space="preserve">working with administrative and electronic health record data: verifying and</w:t>
      </w:r>
      <w:r>
        <w:t xml:space="preserve"> </w:t>
      </w:r>
      <w:r>
        <w:t xml:space="preserve">manipulating large collections of ICD codes. By exposing the internal ICD</w:t>
      </w:r>
      <w:r>
        <w:t xml:space="preserve"> </w:t>
      </w:r>
      <w:r>
        <w:t xml:space="preserve">database through functions such as get_icd_codes() and providing validation via</w:t>
      </w:r>
      <w:r>
        <w:t xml:space="preserve"> </w:t>
      </w:r>
      <w:r>
        <w:t xml:space="preserve">is_icd(),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allows analysts to perform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tables, improving</w:t>
      </w:r>
      <w:r>
        <w:t xml:space="preserve"> </w:t>
      </w:r>
      <w:r>
        <w:t xml:space="preserve">transparency and reproducibility when defining cohorts or filtering diagnosis</w:t>
      </w:r>
      <w:r>
        <w:t xml:space="preserve"> </w:t>
      </w:r>
      <w:r>
        <w:t xml:space="preserve">and procedure codes in large clinical 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20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20"/>
    <w:bookmarkEnd w:id="21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23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2">
        <w:r>
          <w:rPr>
            <w:rStyle w:val="Hyperlink"/>
          </w:rPr>
          <w:t xml:space="preserve">10.1097/01.mlr.0000182534.19832.83</w:t>
        </w:r>
      </w:hyperlink>
    </w:p>
    <w:bookmarkEnd w:id="23"/>
    <w:bookmarkStart w:id="25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4">
        <w:r>
          <w:rPr>
            <w:rStyle w:val="Hyperlink"/>
          </w:rPr>
          <w:t xml:space="preserve">10.1093/aje/kwq433</w:t>
        </w:r>
      </w:hyperlink>
    </w:p>
    <w:bookmarkEnd w:id="25"/>
    <w:bookmarkStart w:id="27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6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7"/>
    <w:bookmarkStart w:id="29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8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9"/>
    <w:bookmarkStart w:id="31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30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1"/>
    <w:bookmarkStart w:id="33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2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3"/>
    <w:bookmarkStart w:id="34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4"/>
    <w:bookmarkStart w:id="35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5"/>
    <w:bookmarkStart w:id="36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6"/>
    <w:bookmarkStart w:id="38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7">
        <w:r>
          <w:rPr>
            <w:rStyle w:val="Hyperlink"/>
          </w:rPr>
          <w:t xml:space="preserve">10.21105/joss.00648</w:t>
        </w:r>
      </w:hyperlink>
    </w:p>
    <w:bookmarkEnd w:id="38"/>
    <w:bookmarkStart w:id="40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40"/>
    <w:bookmarkStart w:id="41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1"/>
    <w:bookmarkStart w:id="43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3"/>
    <w:bookmarkStart w:id="45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4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5"/>
    <w:bookmarkStart w:id="47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47"/>
    <w:bookmarkStart w:id="49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8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49"/>
    <w:bookmarkStart w:id="51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0">
        <w:r>
          <w:rPr>
            <w:rStyle w:val="Hyperlink"/>
          </w:rPr>
          <w:t xml:space="preserve">10.1001/jamapediatrics.2018.0256</w:t>
        </w:r>
      </w:hyperlink>
    </w:p>
    <w:bookmarkEnd w:id="51"/>
    <w:bookmarkStart w:id="52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2"/>
    <w:bookmarkStart w:id="54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3">
        <w:r>
          <w:rPr>
            <w:rStyle w:val="Hyperlink"/>
          </w:rPr>
          <w:t xml:space="preserve">10.13026/kpb9-mt58</w:t>
        </w:r>
      </w:hyperlink>
    </w:p>
    <w:bookmarkEnd w:id="54"/>
    <w:bookmarkStart w:id="55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55"/>
    <w:bookmarkStart w:id="57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56">
        <w:r>
          <w:rPr>
            <w:rStyle w:val="Hyperlink"/>
          </w:rPr>
          <w:t xml:space="preserve">10.1161/01.cir.101.23.e215</w:t>
        </w:r>
      </w:hyperlink>
    </w:p>
    <w:bookmarkEnd w:id="57"/>
    <w:bookmarkEnd w:id="58"/>
    <w:p>
      <w:r>
        <w:br w:type="page"/>
      </w:r>
    </w:p>
    <w:bookmarkEnd w:id="59"/>
    <w:bookmarkStart w:id="60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Number of subjects and encounters in the MIMIC-IV data set with</w:t>
      </w:r>
      <w:r>
        <w:t xml:space="preserve"> </w:t>
      </w:r>
      <w:r>
        <w:t xml:space="preserve">different risk profiles (more severe comorbidities and/or more comorbidities)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The</w:t>
      </w:r>
      <w:r>
        <w:t xml:space="preserve"> </w:t>
      </w:r>
      <w:r>
        <w:t xml:space="preserve">denomiator for Panel (A) is the number of subjects with at least two encounters</w:t>
      </w:r>
      <w:r>
        <w:t xml:space="preserve"> </w:t>
      </w:r>
      <w:r>
        <w:t xml:space="preserve">and at least one comorbidity flagged on encounter 2 (implicitly encounter 1 is</w:t>
      </w:r>
      <w:r>
        <w:t xml:space="preserve"> </w:t>
      </w:r>
      <w:r>
        <w:t xml:space="preserve">the same regardless of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.) The denomiator for Panel (B) is the</w:t>
      </w:r>
      <w:r>
        <w:t xml:space="preserve"> </w:t>
      </w:r>
      <w:r>
        <w:t xml:space="preserve">number of non-initial encounters with at least one comorbidity flag when</w:t>
      </w:r>
      <w:r>
        <w:t xml:space="preserve"> </w:t>
      </w:r>
      <w:r>
        <w:rPr>
          <w:rStyle w:val="VerbatimChar"/>
        </w:rPr>
        <w:t xml:space="preserve">flag.method = "cumulative".</w:t>
      </w:r>
    </w:p>
    <w:p>
      <w:pPr>
        <w:pStyle w:val="BodyText"/>
      </w:pPr>
      <w:r>
        <w:rPr>
          <w:b/>
          <w:bCs/>
        </w:rPr>
        <w:t xml:space="preserve">Figure 2 ALT TEXT: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4.5.2 (2025-10-31) on</w:t>
      </w:r>
      <w:r>
        <w:t xml:space="preserve"> </w:t>
      </w:r>
      <w:r>
        <w:t xml:space="preserve">macOS Sonoma 14.8.3 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 seconds to flag comorbidities in</w:t>
      </w:r>
      <w:r>
        <w:t xml:space="preserve"> </w:t>
      </w:r>
      <w:r>
        <w:t xml:space="preserve">the MIMIC-IV v3.1 dataset (N = 10 iterations). 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60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2026-03-17T19:35:44Z</dcterms:created>
  <dcterms:modified xsi:type="dcterms:W3CDTF">2026-03-17T19:35:44Z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