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1,2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</w:p>
    <w:p>
      <w:pPr>
        <w:pStyle w:val="BodyText"/>
      </w:pPr>
      <w:r>
        <w:t xml:space="preserve">Department of Biomedical Informatics</w:t>
      </w:r>
    </w:p>
    <w:p>
      <w:pPr>
        <w:pStyle w:val="BodyText"/>
      </w:pPr>
      <w:r>
        <w:t xml:space="preserve">University of Colorado School of Medicine</w:t>
      </w:r>
    </w:p>
    <w:p>
      <w:pPr>
        <w:pStyle w:val="BodyText"/>
      </w:pPr>
      <w:r>
        <w:t xml:space="preserve">1890 N. Revere Court</w:t>
      </w:r>
    </w:p>
    <w:p>
      <w:pPr>
        <w:pStyle w:val="BodyText"/>
      </w:pPr>
      <w:r>
        <w:t xml:space="preserve">Mailstop F600</w:t>
      </w:r>
    </w:p>
    <w:p>
      <w:pPr>
        <w:pStyle w:val="BodyText"/>
      </w:pP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1945 / 2000 (including R chunks, 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1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 medicalcoder: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145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International Classification of Diseases</w:t>
      </w:r>
      <w:r>
        <w:t xml:space="preserve"> </w:t>
      </w:r>
      <w:r>
        <w:t xml:space="preserve">(ICD) codes are central to risk adjustment and cohort characterization, yet</w:t>
      </w:r>
      <w:r>
        <w:t xml:space="preserve"> </w:t>
      </w:r>
      <w:r>
        <w:t xml:space="preserve">existing software is fragmented, inconsistently handles mixed ICD-9 and ICD-10</w:t>
      </w:r>
      <w:r>
        <w:t xml:space="preserve"> </w:t>
      </w:r>
      <w:r>
        <w:t xml:space="preserve">data, and typically operates at the encounter level. 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self-contained R package with an internal ICD database and</w:t>
      </w:r>
      <w:r>
        <w:t xml:space="preserve"> </w:t>
      </w:r>
      <w:r>
        <w:t xml:space="preserve">unified interface for applying multiple variants of the Charlson, Elixhauser,</w:t>
      </w:r>
      <w:r>
        <w:t xml:space="preserve"> </w:t>
      </w:r>
      <w:r>
        <w:t xml:space="preserve">and Pediatric Complex Chronic Conditions algorithms. It supports full and</w:t>
      </w:r>
      <w:r>
        <w:t xml:space="preserve"> </w:t>
      </w:r>
      <w:r>
        <w:t xml:space="preserve">compact ICD codes, mixed ICD versions, present-on-admission and primary</w:t>
      </w:r>
      <w:r>
        <w:t xml:space="preserve"> </w:t>
      </w:r>
      <w:r>
        <w:t xml:space="preserve">diagnosis indicators, and both encounter-level and cumulative longitudinal</w:t>
      </w:r>
      <w:r>
        <w:t xml:space="preserve"> </w:t>
      </w:r>
      <w:r>
        <w:t xml:space="preserve">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package requires only R ≥ 3.5.0. Outputs are consistent with published</w:t>
      </w:r>
      <w:r>
        <w:t xml:space="preserve"> </w:t>
      </w:r>
      <w:r>
        <w:t xml:space="preserve">reference implementations. Outputs are consistent with published reference</w:t>
      </w:r>
      <w:r>
        <w:t xml:space="preserve"> </w:t>
      </w:r>
      <w:r>
        <w:t xml:space="preserve">implementations. Longitudinal flagging increases sensitivity compared with</w:t>
      </w:r>
      <w:r>
        <w:t xml:space="preserve"> </w:t>
      </w:r>
      <w:r>
        <w:t xml:space="preserve">aggregation of encounter-level flags.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187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not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and has been thoroughly tested against</w:t>
            </w:r>
            <w:r>
              <w:t xml:space="preserve"> </w:t>
            </w:r>
            <w:r>
              <w:t xml:space="preserve">published methods. It helps researchers apply comorbidity algorithms more</w:t>
            </w:r>
            <w:r>
              <w:t xml:space="preserve"> </w:t>
            </w:r>
            <w:r>
              <w:t xml:space="preserve">accurately and consistently, improving the quality and reproducibility of</w:t>
            </w:r>
            <w:r>
              <w:t xml:space="preserve"> </w:t>
            </w:r>
            <w:r>
              <w:t xml:space="preserve">studies using electronic health record or administrative data.</w:t>
            </w:r>
          </w:p>
          <w:p/>
        </w:tc>
      </w:tr>
    </w:tbl>
    <w:p>
      <w:r>
        <w:br w:type="page"/>
      </w:r>
    </w:p>
    <w:bookmarkEnd w:id="21"/>
    <w:bookmarkStart w:id="22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study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 one or two comorbidity</w:t>
      </w:r>
      <w:r>
        <w:t xml:space="preserve"> </w:t>
      </w:r>
      <w:r>
        <w:t xml:space="preserve">algorithms, most often variants of Charlson and Elixhauser, and support either</w:t>
      </w:r>
      <w:r>
        <w:t xml:space="preserve"> </w:t>
      </w:r>
      <w:r>
        <w:t xml:space="preserve">ICD-9 or ICD-10, but not both, at least no simultaneously</w:t>
      </w:r>
      <w:r>
        <w:t xml:space="preserve"> </w:t>
      </w:r>
      <w:r>
        <w:t xml:space="preserve">[4,10–14]</w:t>
      </w:r>
      <w:r>
        <w:t xml:space="preserve">.</w:t>
      </w:r>
      <w:r>
        <w:t xml:space="preserve"> </w:t>
      </w:r>
      <w:r>
        <w:t xml:space="preserve">This leaves users to reconcile mixed ICD-version datasets manually. Input</w:t>
      </w:r>
      <w:r>
        <w:t xml:space="preserve"> </w:t>
      </w:r>
      <w:r>
        <w:t xml:space="preserve">requirements vary across utilities, making it difficult to apply multiple</w:t>
      </w:r>
      <w:r>
        <w:t xml:space="preserve"> </w:t>
      </w:r>
      <w:r>
        <w:t xml:space="preserve">algorithms consistently.</w:t>
      </w:r>
    </w:p>
    <w:p>
      <w:pPr>
        <w:pStyle w:val="BodyText"/>
      </w:pPr>
      <w:r>
        <w:t xml:space="preserve">Despite the importance of longitudinal data in modern EHR research, comorbidity</w:t>
      </w:r>
      <w:r>
        <w:t xml:space="preserve"> </w:t>
      </w:r>
      <w:r>
        <w:t xml:space="preserve">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 indicators and</w:t>
      </w:r>
      <w:r>
        <w:t xml:space="preserve"> </w:t>
      </w:r>
      <w:r>
        <w:t xml:space="preserve">exemptions, it does not propagate conditions across encounters within a patient</w:t>
      </w:r>
      <w:r>
        <w:t xml:space="preserve"> </w:t>
      </w:r>
      <w:r>
        <w:t xml:space="preserve">record. Conditions that arise during acute care and should not be considered</w:t>
      </w:r>
      <w:r>
        <w:t xml:space="preserve"> </w:t>
      </w:r>
      <w:r>
        <w:t xml:space="preserve">comorbidities for the present encounter are handled via POA indicators. However,</w:t>
      </w:r>
      <w:r>
        <w:t xml:space="preserve"> </w:t>
      </w:r>
      <w:r>
        <w:t xml:space="preserve">unless the relevant ICD codes are flagged as POA on subsequent encounters, those</w:t>
      </w:r>
      <w:r>
        <w:t xml:space="preserve"> </w:t>
      </w:r>
      <w:r>
        <w:t xml:space="preserve">comorbidities will not be flagged.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present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22"/>
    <w:bookmarkStart w:id="23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with a comprehensive internal ICD</w:t>
      </w:r>
      <w:r>
        <w:t xml:space="preserve"> </w:t>
      </w:r>
      <w:r>
        <w:t xml:space="preserve">database capable of applying multiple comorbidity algorithms to clinical</w:t>
      </w:r>
      <w:r>
        <w:t xml:space="preserve"> </w:t>
      </w:r>
      <w:r>
        <w:t xml:space="preserve">datasets.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23"/>
    <w:bookmarkStart w:id="29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environments. No external namespaces are imported; R ≥</w:t>
      </w:r>
      <w:r>
        <w:t xml:space="preserve"> </w:t>
      </w:r>
      <w:r>
        <w:t xml:space="preserve">3.5.0 is the only required dependency, reflecting changes in data serialization</w:t>
      </w:r>
      <w:r>
        <w:t xml:space="preserve"> </w:t>
      </w:r>
      <w:r>
        <w:t xml:space="preserve">introduced in that version</w:t>
      </w:r>
      <w:r>
        <w:rPr>
          <w:rStyle w:val="FootnoteReference"/>
        </w:rPr>
        <w:footnoteReference w:id="24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consists of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(1992), Quan (2005; 2011), and CDMF (2019).</w:t>
      </w:r>
      <w:r>
        <w:t xml:space="preserve"> </w:t>
      </w:r>
      <w:r>
        <w:t xml:space="preserve">Elixhauser variants include the original Elixhauser (1988), Quan (2005), and AHRQ ICD-10 fiscal-year implementations (2022–2026).</w:t>
      </w:r>
      <w:r>
        <w:t xml:space="preserve"> </w:t>
      </w:r>
      <w:r>
        <w:t xml:space="preserve">PCCC variants include versions 2.0, 2.1, 3.0, and 3.1.</w:t>
      </w:r>
    </w:p>
    <w:p>
      <w:pPr>
        <w:pStyle w:val="BodyText"/>
      </w:pPr>
      <w:r>
        <w:t xml:space="preserve">Development used R version 4.5.2. A comprehensive test suite runs as a GitHub</w:t>
      </w:r>
      <w:r>
        <w:t xml:space="preserve"> </w:t>
      </w:r>
      <w:r>
        <w:t xml:space="preserve">Action on R oldrelease (4.4.3), release (4.5.2), and devel (what will become</w:t>
      </w:r>
      <w:r>
        <w:t xml:space="preserve"> </w:t>
      </w:r>
      <w:r>
        <w:t xml:space="preserve">4.6.0). An additional test suite runs on demand for all released versions of R</w:t>
      </w:r>
      <w:r>
        <w:t xml:space="preserve"> </w:t>
      </w:r>
      <w:r>
        <w:t xml:space="preserve">≥ 3.5.0 without suggested packages, and for versions ≥ 4.4.0 with</w:t>
      </w:r>
      <w:r>
        <w:t xml:space="preserve"> </w:t>
      </w:r>
      <w:r>
        <w:t xml:space="preserve">suggested packages</w:t>
      </w:r>
      <w:r>
        <w:rPr>
          <w:rStyle w:val="FootnoteReference"/>
        </w:rPr>
        <w:footnoteReference w:id="25"/>
      </w:r>
      <w:r>
        <w:t xml:space="preserve">.</w:t>
      </w:r>
    </w:p>
    <w:p>
      <w:pPr>
        <w:pStyle w:val="BodyText"/>
      </w:pPr>
      <w:r>
        <w:t xml:space="preserve">Within the test suite there are tests for ensuring consistency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 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</w:t>
      </w:r>
      <w:r>
        <w:t xml:space="preserve"> </w:t>
      </w:r>
      <w:r>
        <w:t xml:space="preserve">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As part of the website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</w:t>
      </w:r>
      <w:r>
        <w:t xml:space="preserve"> </w:t>
      </w:r>
      <w:r>
        <w:t xml:space="preserve">MIT-LCP/mimic-code/mimic-iv</w:t>
      </w:r>
      <w:r>
        <w:t xml:space="preserve">[18]</w:t>
      </w:r>
      <w:r>
        <w:t xml:space="preserve"> </w:t>
      </w:r>
      <w:r>
        <w:t xml:space="preserve">is 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these examples. The MIMIC-IV v3.1 dataset is a large, publicly available</w:t>
      </w:r>
      <w:r>
        <w:t xml:space="preserve"> </w:t>
      </w:r>
      <w:r>
        <w:t xml:space="preserve">clinical database containing de-identified health data from patients admitted to</w:t>
      </w:r>
      <w:r>
        <w:t xml:space="preserve"> </w:t>
      </w:r>
      <w:r>
        <w:t xml:space="preserve">intensive care units at Beth Israel Deaconess Medical Center. It includes</w:t>
      </w:r>
      <w:r>
        <w:t xml:space="preserve"> </w:t>
      </w:r>
      <w:r>
        <w:t xml:space="preserve">detailed information on diagnoses, procedures, laboratory results, medications,</w:t>
      </w:r>
      <w:r>
        <w:t xml:space="preserve"> </w:t>
      </w:r>
      <w:r>
        <w:t xml:space="preserve">and hospital encounters, with ICD-9-CM and ICD-10-CM/PCS codes available for</w:t>
      </w:r>
      <w:r>
        <w:t xml:space="preserve"> </w:t>
      </w:r>
      <w:r>
        <w:t xml:space="preserve">billing and comorbidity research. MIMIC-IV is widely used for method</w:t>
      </w:r>
      <w:r>
        <w:t xml:space="preserve"> </w:t>
      </w:r>
      <w:r>
        <w:t xml:space="preserve">development, validation, and reproducible research in clinical informatics and</w:t>
      </w:r>
      <w:r>
        <w:t xml:space="preserve"> </w:t>
      </w:r>
      <w:r>
        <w:t xml:space="preserve">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28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29"/>
    <w:bookmarkStart w:id="30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Within the MIMIC-IV v3.1 dataset there are</w:t>
      </w:r>
      <w:r>
        <w:t xml:space="preserve"> </w:t>
      </w:r>
      <w:r>
        <w:t xml:space="preserve">7,365,770 total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 versions.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SourceCode"/>
      </w:pPr>
      <w:r>
        <w:rPr>
          <w:rStyle w:val="NormalTok"/>
        </w:rPr>
        <w:t xml:space="preserve">medicalcoder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comorbidities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Required inputs: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=</w:t>
      </w:r>
      <w:r>
        <w:rPr>
          <w:rStyle w:val="NormalTok"/>
        </w:rPr>
        <w:t xml:space="preserve"> ,   </w:t>
      </w:r>
      <w:r>
        <w:rPr>
          <w:rStyle w:val="CommentTok"/>
        </w:rPr>
        <w:t xml:space="preserve"># object inheriting data.frame; one ICD code per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icd.codes =</w:t>
      </w:r>
      <w:r>
        <w:rPr>
          <w:rStyle w:val="NormalTok"/>
        </w:rPr>
        <w:t xml:space="preserve"> ,   </w:t>
      </w:r>
      <w:r>
        <w:rPr>
          <w:rStyle w:val="CommentTok"/>
        </w:rPr>
        <w:t xml:space="preserve"># character; name of column in data containing ICD codes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   =</w:t>
      </w:r>
      <w:r>
        <w:rPr>
          <w:rStyle w:val="NormalTok"/>
        </w:rPr>
        <w:t xml:space="preserve"> ,   </w:t>
      </w:r>
      <w:r>
        <w:rPr>
          <w:rStyle w:val="CommentTok"/>
        </w:rPr>
        <w:t xml:space="preserve"># &lt;family&gt;_&lt;variant&gt;, e.g., "charlson_quan2005"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 inputs controlling grouping and code attributes: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id.vars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encounter identifiers (see text below)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icdv.var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for ICD version (9 or 10)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icdv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integer; constant ICD version for all rows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dx.var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indicating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  diagnosis (1) or procedure (0)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dx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integer; constant dx indicator for all rows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poa.var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for present-on-admission indicator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poa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integer; constant POA indicator for all rows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age.var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for age in years (Charlson only)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primarydx.var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character; column name indicating primary diagnosis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primarydx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integer; constant primary dx indicator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Defaults: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flag.method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"current" (encounter-level) or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"cumulative" (longitudinal)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full.codes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reference data[[icd.codes]] against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  full ICD codes, e.g., C4A.111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compact.codes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reference data[[icd.codes]] against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  compact ICD codes, e.g., C4A111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subconditions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PCCC only: return subcondition flags when available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). These pairs represent the same conceptual information at two</w:t>
      </w:r>
      <w:r>
        <w:t xml:space="preserve"> </w:t>
      </w:r>
      <w:r>
        <w:t xml:space="preserve">levels of granularity.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 (e.g., all rows are ICD-10, or all rows are diagnoses), whereas</w:t>
      </w:r>
      <w:r>
        <w:t xml:space="preserve"> </w:t>
      </w:r>
      <w:r>
        <w:t xml:space="preserve">arguments with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reference columns in the input data that encode</w:t>
      </w:r>
      <w:r>
        <w:t xml:space="preserve"> </w:t>
      </w:r>
      <w:r>
        <w:t xml:space="preserve">row-level variation.</w:t>
      </w:r>
    </w:p>
    <w:p>
      <w:pPr>
        <w:pStyle w:val="BodyText"/>
      </w:pPr>
      <w:r>
        <w:t xml:space="preserve">This design avoids requiring users to create constant-valued columns when</w:t>
      </w:r>
      <w:r>
        <w:t xml:space="preserve"> </w:t>
      </w:r>
      <w:r>
        <w:t xml:space="preserve">dataset-level properties are already known, while still supporting heterogeneous</w:t>
      </w:r>
      <w:r>
        <w:t xml:space="preserve"> </w:t>
      </w:r>
      <w:r>
        <w:t xml:space="preserve">datasets in which code attributes vary across rows. When both forms are</w:t>
      </w:r>
      <w:r>
        <w:t xml:space="preserve"> </w:t>
      </w:r>
      <w:r>
        <w:t xml:space="preserve">supplied, the column-based form (e.g.,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takes precedence and a warning</w:t>
      </w:r>
      <w:r>
        <w:t xml:space="preserve"> </w:t>
      </w:r>
      <w:r>
        <w:t xml:space="preserve">is issued to indicate the override.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 encounter-</w:t>
      </w:r>
      <w:r>
        <w:t xml:space="preserve"> </w:t>
      </w:r>
      <w:r>
        <w:t xml:space="preserve">level flags. When flag.method =</w:t>
      </w:r>
      <w:r>
        <w:t xml:space="preserve"> </w:t>
      </w:r>
      <w:r>
        <w:t xml:space="preserve">“current”</w:t>
      </w:r>
      <w:r>
        <w:t xml:space="preserve">, id.vars is optional: if omitted,</w:t>
      </w:r>
      <w:r>
        <w:t xml:space="preserve"> </w:t>
      </w:r>
      <w:r>
        <w:t xml:space="preserve">the entire dataset is treated as a single encounter and a single row of flags is</w:t>
      </w:r>
      <w:r>
        <w:t xml:space="preserve"> </w:t>
      </w:r>
      <w:r>
        <w:t xml:space="preserve">returned.</w:t>
      </w:r>
    </w:p>
    <w:p>
      <w:pPr>
        <w:pStyle w:val="BodyText"/>
      </w:pPr>
      <w:r>
        <w:t xml:space="preserve">For longitudinal 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</w:t>
      </w:r>
      <w:r>
        <w:t xml:space="preserve"> </w:t>
      </w:r>
      <w:r>
        <w:t xml:space="preserve">at least two variables. The leading variables define the patient (or unit) and</w:t>
      </w:r>
      <w:r>
        <w:t xml:space="preserve"> </w:t>
      </w:r>
      <w:r>
        <w:t xml:space="preserve">the final variable defines within-patient ordering. Specifically, the data are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and relevent ICD codes reported on encounter i are carried</w:t>
      </w:r>
      <w:r>
        <w:t xml:space="preserve"> </w:t>
      </w:r>
      <w:r>
        <w:t xml:space="preserve">forward to encounters i+1, i+2, … within the same patient history.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addition metadata and</w:t>
      </w:r>
      <w:r>
        <w:t xml:space="preserve"> </w:t>
      </w:r>
      <w:r>
        <w:t xml:space="preserve">class consistent with the input. The data.frame has column(s) 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 an indicator column each of the relevant comorbidities. All returned</w:t>
      </w:r>
      <w:r>
        <w:t xml:space="preserve"> </w:t>
      </w:r>
      <w:r>
        <w:t xml:space="preserve">data.frames include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for the number of comorbidities flagged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, an indicator column for at least one</w:t>
      </w:r>
      <w:r>
        <w:t xml:space="preserve"> </w:t>
      </w:r>
      <w:r>
        <w:t xml:space="preserve">comorbidity.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S3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method for the returns to</w:t>
      </w:r>
      <w:r>
        <w:t xml:space="preserve"> </w:t>
      </w:r>
      <w:r>
        <w:t xml:space="preserve">generate tables of the counts and percentage of encounters flagged, Table 1.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Finally, note that longitudinal flagging is algorithm-dependent. For example,</w:t>
      </w:r>
      <w:r>
        <w:t xml:space="preserve"> </w:t>
      </w:r>
      <w:r>
        <w:t xml:space="preserve">some PCCC v3 conditions depend on whether technology-dependent codes co-occur (or</w:t>
      </w:r>
      <w:r>
        <w:t xml:space="preserve"> </w:t>
      </w:r>
      <w:r>
        <w:t xml:space="preserve">eventually co-occur) with non–technology-dependent codes. Also, Elixhauser from</w:t>
      </w:r>
      <w:r>
        <w:t xml:space="preserve"> </w:t>
      </w:r>
      <w:r>
        <w:t xml:space="preserve">AHRQ post 2022 account for POA status of ICD codes.</w:t>
      </w:r>
      <w:r>
        <w:t xml:space="preserve"> </w:t>
      </w:r>
      <w:r>
        <w:t xml:space="preserve">In these cases, naïve</w:t>
      </w:r>
      <w:r>
        <w:t xml:space="preserve"> </w:t>
      </w:r>
      <w:r>
        <w:t xml:space="preserve">post hoc accumulation of encounter-level flags can miss conditions (Table 2); 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was reported on this, or a prior, enconter, no comorbidities are flagged.</w:t>
            </w:r>
          </w:p>
        </w:tc>
      </w:tr>
    </w:tbl>
    <w:p>
      <w:pPr>
        <w:pStyle w:val="BodyText"/>
      </w:pPr>
      <w:r>
        <w:t xml:space="preserve">In the supplement is a detailed exploration of the flags produced by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versus the code from MIMIV-IV, and the R</w:t>
      </w:r>
      <w:r>
        <w:t xml:space="preserve"> </w:t>
      </w:r>
      <w:r>
        <w:t xml:space="preserve">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The flagging of</w:t>
      </w:r>
      <w:r>
        <w:t xml:space="preserve"> </w:t>
      </w:r>
      <w:r>
        <w:t xml:space="preserve">Charlson comorbidities within the MIMIC-IV v3.1 dataset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 MIMIV-IV Code are the same.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we</w:t>
      </w:r>
      <w:r>
        <w:t xml:space="preserve"> </w:t>
      </w:r>
      <w:r>
        <w:t xml:space="preserve">found the same for Elixhauser comorbidities. For Charlson comorbidities we</w:t>
      </w:r>
      <w:r>
        <w:t xml:space="preserve"> </w:t>
      </w:r>
      <w:r>
        <w:t xml:space="preserve">found that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package failed to flag malignancies related to</w:t>
      </w:r>
      <w:r>
        <w:t xml:space="preserve"> </w:t>
      </w:r>
      <w:r>
        <w:t xml:space="preserve">ICD-10-CM codes C4A.x. PCCC v2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errors in the mappings within</w:t>
      </w:r>
      <w:r>
        <w:t xml:space="preserve"> </w:t>
      </w:r>
      <w:r>
        <w:rPr>
          <w:i/>
          <w:iCs/>
        </w:rPr>
        <w:t xml:space="preserve">pccc</w:t>
      </w:r>
      <w:r>
        <w:t xml:space="preserve">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greater sensitivity,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demonstrated substantial performance advantages in large-scale testing (Figure 1).</w:t>
      </w:r>
    </w:p>
    <w:bookmarkEnd w:id="30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or tightly controlled software installations. Relying only on</w:t>
      </w:r>
      <w:r>
        <w:t xml:space="preserve"> </w:t>
      </w:r>
      <w:r>
        <w:t xml:space="preserve">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</w:t>
      </w:r>
      <w:r>
        <w:t xml:space="preserve"> </w:t>
      </w:r>
      <w:r>
        <w:t xml:space="preserve">3.5.0 is available, addressing a common but under-discussed barrier to</w:t>
      </w:r>
      <w:r>
        <w:t xml:space="preserve"> </w:t>
      </w:r>
      <w:r>
        <w:t xml:space="preserve">reproducible 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Figures 1 and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</w:t>
      </w:r>
    </w:p>
    <w:p>
      <w:pPr>
        <w:pStyle w:val="BodyText"/>
      </w:pPr>
      <w:r>
        <w:t xml:space="preserve">To our knowledge,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only available R package that jointly</w:t>
      </w:r>
      <w:r>
        <w:t xml:space="preserve"> </w:t>
      </w:r>
      <w:r>
        <w:t xml:space="preserve">supports multiple comorbidity algorithms, mixed ICD versions,</w:t>
      </w:r>
      <w:r>
        <w:t xml:space="preserve"> </w:t>
      </w:r>
      <w:r>
        <w:t xml:space="preserve">present-on-admission logic, and cumulative longitudinal flagging within a</w:t>
      </w:r>
      <w:r>
        <w:t xml:space="preserve"> </w:t>
      </w:r>
      <w:r>
        <w:t xml:space="preserve">single, reproducible framework. These capabilities enable researchers to</w:t>
      </w:r>
      <w:r>
        <w:t xml:space="preserve"> </w:t>
      </w:r>
      <w:r>
        <w:t xml:space="preserve">accurately characterize patient complexity and to systematically evaluate how</w:t>
      </w:r>
      <w:r>
        <w:t xml:space="preserve"> </w:t>
      </w:r>
      <w:r>
        <w:t xml:space="preserve">different comorbidity definitions influence analytic results.</w:t>
      </w:r>
    </w:p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Funding Statement:</w:t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SR, MR, and TDB all contributed to the conception, design,</w:t>
      </w:r>
      <w:r>
        <w:t xml:space="preserve"> </w:t>
      </w:r>
      <w:r>
        <w:t xml:space="preserve">and interpretation and provided important feedback. TDB provided funding. All</w:t>
      </w:r>
      <w:r>
        <w:t xml:space="preserve"> </w:t>
      </w:r>
      <w:r>
        <w:t xml:space="preserve">authors critically reviewed the manuscript for important intellectual content</w:t>
      </w:r>
      <w:r>
        <w:t xml:space="preserve"> </w:t>
      </w:r>
      <w:r>
        <w:t xml:space="preserve">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31"/>
    <w:bookmarkEnd w:id="32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34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33">
        <w:r>
          <w:rPr>
            <w:rStyle w:val="Hyperlink"/>
          </w:rPr>
          <w:t xml:space="preserve">10.1097/01.mlr.0000182534.19832.83</w:t>
        </w:r>
      </w:hyperlink>
    </w:p>
    <w:bookmarkEnd w:id="34"/>
    <w:bookmarkStart w:id="36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35">
        <w:r>
          <w:rPr>
            <w:rStyle w:val="Hyperlink"/>
          </w:rPr>
          <w:t xml:space="preserve">10.1093/aje/kwq433</w:t>
        </w:r>
      </w:hyperlink>
    </w:p>
    <w:bookmarkEnd w:id="36"/>
    <w:bookmarkStart w:id="38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7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38"/>
    <w:bookmarkStart w:id="40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9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40"/>
    <w:bookmarkStart w:id="42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41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42"/>
    <w:bookmarkStart w:id="44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3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44"/>
    <w:bookmarkStart w:id="45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45"/>
    <w:bookmarkStart w:id="46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46"/>
    <w:bookmarkStart w:id="47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47"/>
    <w:bookmarkStart w:id="49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48">
        <w:r>
          <w:rPr>
            <w:rStyle w:val="Hyperlink"/>
          </w:rPr>
          <w:t xml:space="preserve">10.21105/joss.00648</w:t>
        </w:r>
      </w:hyperlink>
    </w:p>
    <w:bookmarkEnd w:id="49"/>
    <w:bookmarkStart w:id="51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50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51"/>
    <w:bookmarkStart w:id="52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52"/>
    <w:bookmarkStart w:id="54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53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54"/>
    <w:bookmarkStart w:id="56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56"/>
    <w:bookmarkStart w:id="58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8"/>
    <w:bookmarkStart w:id="60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9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60"/>
    <w:bookmarkStart w:id="62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61">
        <w:r>
          <w:rPr>
            <w:rStyle w:val="Hyperlink"/>
          </w:rPr>
          <w:t xml:space="preserve">10.1001/jamapediatrics.2018.0256</w:t>
        </w:r>
      </w:hyperlink>
    </w:p>
    <w:bookmarkEnd w:id="62"/>
    <w:bookmarkStart w:id="63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63"/>
    <w:bookmarkStart w:id="65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4">
        <w:r>
          <w:rPr>
            <w:rStyle w:val="Hyperlink"/>
          </w:rPr>
          <w:t xml:space="preserve">10.13026/kpb9-mt58</w:t>
        </w:r>
      </w:hyperlink>
    </w:p>
    <w:bookmarkEnd w:id="65"/>
    <w:bookmarkStart w:id="66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6"/>
    <w:bookmarkStart w:id="68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7">
        <w:r>
          <w:rPr>
            <w:rStyle w:val="Hyperlink"/>
          </w:rPr>
          <w:t xml:space="preserve">10.1161/01.cir.101.23.e215</w:t>
        </w:r>
      </w:hyperlink>
    </w:p>
    <w:bookmarkEnd w:id="68"/>
    <w:bookmarkEnd w:id="69"/>
    <w:p>
      <w:r>
        <w:br w:type="page"/>
      </w:r>
    </w:p>
    <w:bookmarkEnd w:id="70"/>
    <w:bookmarkStart w:id="71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The time required to flag comorbidities in the MIMIC-IV v3.1</w:t>
      </w:r>
      <w:r>
        <w:t xml:space="preserve"> </w:t>
      </w:r>
      <w:r>
        <w:t xml:space="preserve">dataset (</w:t>
      </w:r>
      <w:r>
        <w:t xml:space="preserve"> </w:t>
      </w:r>
      <w:r>
        <w:t xml:space="preserve">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and flagging method. The MIMIIC-IV code time is based on</w:t>
      </w:r>
      <w:r>
        <w:t xml:space="preserve"> </w:t>
      </w:r>
      <w:r>
        <w:t xml:space="preserve">running RSQLite code for a in-memory 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 aggregations to handle the mixed use of ICD-9</w:t>
      </w:r>
      <w:r>
        <w:t xml:space="preserve"> </w:t>
      </w:r>
      <w:r>
        <w:t xml:space="preserve">and ICD-10 within the MIMIIC-IV dataset. Applying the each of of the</w:t>
      </w:r>
      <w:r>
        <w:t xml:space="preserve"> </w:t>
      </w:r>
      <w:r>
        <w:t xml:space="preserve">comorbidity algorithms and flagging methods 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</w:t>
      </w:r>
      <w:r>
        <w:t xml:space="preserve"> </w:t>
      </w:r>
      <w:r>
        <w:t xml:space="preserve">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</w:t>
      </w:r>
    </w:p>
    <w:bookmarkEnd w:id="71"/>
    <w:sectPr w:rsidR="00A6194A" w:rsidRPr="003A1AFF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8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3A1AFF"/>
    <w:rsid w:val="003B4E24"/>
    <w:rsid w:val="007548E3"/>
    <w:rsid w:val="007723D8"/>
    <w:rsid w:val="008A7161"/>
    <w:rsid w:val="00927A08"/>
    <w:rsid w:val="00A46FFD"/>
    <w:rsid w:val="00A6194A"/>
    <w:rsid w:val="00DB136A"/>
    <w:rsid w:val="00F95EE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7548E3"/>
    <w:pPr>
      <w:spacing w:line="240" w:lineRule="auto"/>
    </w:pPr>
    <w:rPr>
      <w:i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2026-02-14T23:47:12Z</dcterms:created>
  <dcterms:modified xsi:type="dcterms:W3CDTF">2026-02-14T23:47:12Z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