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1,2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</w:p>
    <w:p>
      <w:pPr>
        <w:pStyle w:val="BodyText"/>
      </w:pPr>
      <w:r>
        <w:t xml:space="preserve">Department of Biomedical Informatics</w:t>
      </w:r>
    </w:p>
    <w:p>
      <w:pPr>
        <w:pStyle w:val="BodyText"/>
      </w:pPr>
      <w:r>
        <w:t xml:space="preserve">University of Colorado School of Medicine</w:t>
      </w:r>
    </w:p>
    <w:p>
      <w:pPr>
        <w:pStyle w:val="BodyText"/>
      </w:pPr>
      <w:r>
        <w:t xml:space="preserve">1890 N. Revere Court</w:t>
      </w:r>
    </w:p>
    <w:p>
      <w:pPr>
        <w:pStyle w:val="BodyText"/>
      </w:pPr>
      <w:r>
        <w:t xml:space="preserve">Mailstop F600</w:t>
      </w:r>
    </w:p>
    <w:p>
      <w:pPr>
        <w:pStyle w:val="BodyText"/>
      </w:pP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1946 / 2000 (including R chunks, 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1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 medicalcoder: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149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International Classification of Diseases</w:t>
      </w:r>
      <w:r>
        <w:t xml:space="preserve"> </w:t>
      </w:r>
      <w:r>
        <w:t xml:space="preserve">(ICD) codes are central to risk adjustment and cohort characterization, yet</w:t>
      </w:r>
      <w:r>
        <w:t xml:space="preserve"> </w:t>
      </w:r>
      <w:r>
        <w:t xml:space="preserve">existing software is fragmented, inconsistently handles mixed ICD-9 and ICD-10</w:t>
      </w:r>
      <w:r>
        <w:t xml:space="preserve"> </w:t>
      </w:r>
      <w:r>
        <w:t xml:space="preserve">data,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self-contained R package with an internal ICD database and</w:t>
      </w:r>
      <w:r>
        <w:t xml:space="preserve"> </w:t>
      </w:r>
      <w:r>
        <w:t xml:space="preserve">unified interface for applying multiple variants of the Charlson, Elixhauser,</w:t>
      </w:r>
      <w:r>
        <w:t xml:space="preserve"> </w:t>
      </w:r>
      <w:r>
        <w:t xml:space="preserve">and Pediatric Complex Chronic Conditions algorithms. It supports full and</w:t>
      </w:r>
      <w:r>
        <w:t xml:space="preserve"> </w:t>
      </w:r>
      <w:r>
        <w:t xml:space="preserve">compact ICD codes, mixed ICD versions, present-on-admission and primary</w:t>
      </w:r>
      <w:r>
        <w:t xml:space="preserve"> </w:t>
      </w:r>
      <w:r>
        <w:t xml:space="preserve">diagnosis indicators, and both encounter-level and cumulative longitudinal</w:t>
      </w:r>
      <w:r>
        <w:t xml:space="preserve"> </w:t>
      </w:r>
      <w:r>
        <w:t xml:space="preserve">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package requires only R ≥ 3.5.0. Outputs are consistent with published</w:t>
      </w:r>
      <w:r>
        <w:t xml:space="preserve"> </w:t>
      </w:r>
      <w:r>
        <w:t xml:space="preserve">reference implementations. Longitudinal flagging captured additional</w:t>
      </w:r>
      <w:r>
        <w:t xml:space="preserve"> </w:t>
      </w:r>
      <w:r>
        <w:t xml:space="preserve">comorbidities not identified through naïve aggregation of encounter-level flags,</w:t>
      </w:r>
      <w:r>
        <w:t xml:space="preserve"> </w:t>
      </w:r>
      <w:r>
        <w:t xml:space="preserve">particularly for algorithms incorporating POA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187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not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and has been thoroughly tested against</w:t>
            </w:r>
            <w:r>
              <w:t xml:space="preserve"> </w:t>
            </w:r>
            <w:r>
              <w:t xml:space="preserve">published methods. It helps researchers apply comorbidity algorithms more</w:t>
            </w:r>
            <w:r>
              <w:t xml:space="preserve"> </w:t>
            </w:r>
            <w:r>
              <w:t xml:space="preserve">accurately and consistently, improving the quality and reproducibility of</w:t>
            </w:r>
            <w:r>
              <w:t xml:space="preserve"> </w:t>
            </w:r>
            <w:r>
              <w:t xml:space="preserve">studies using electronic health record or administrative data.</w:t>
            </w:r>
          </w:p>
          <w:p/>
        </w:tc>
      </w:tr>
    </w:tbl>
    <w:p>
      <w:r>
        <w:br w:type="page"/>
      </w:r>
    </w:p>
    <w:bookmarkEnd w:id="21"/>
    <w:bookmarkStart w:id="22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study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 one or two comorbidity</w:t>
      </w:r>
      <w:r>
        <w:t xml:space="preserve"> </w:t>
      </w:r>
      <w:r>
        <w:t xml:space="preserve">algorithms, most often variants of Charlson and Elixhauser, and support either</w:t>
      </w:r>
      <w:r>
        <w:t xml:space="preserve"> </w:t>
      </w:r>
      <w:r>
        <w:t xml:space="preserve">ICD-9 or ICD-10 (but not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flagged.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present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22"/>
    <w:bookmarkStart w:id="23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with a comprehensive internal ICD</w:t>
      </w:r>
      <w:r>
        <w:t xml:space="preserve"> </w:t>
      </w:r>
      <w:r>
        <w:t xml:space="preserve">database capable of applying multiple comorbidity algorithms to clinical</w:t>
      </w:r>
      <w:r>
        <w:t xml:space="preserve"> </w:t>
      </w:r>
      <w:r>
        <w:t xml:space="preserve">datasets.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23"/>
    <w:bookmarkStart w:id="29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environments. No external namespaces are imported; R ≥</w:t>
      </w:r>
      <w:r>
        <w:t xml:space="preserve"> </w:t>
      </w:r>
      <w:r>
        <w:t xml:space="preserve">3.5.0 is the only required dependency, reflecting changes in data serialization</w:t>
      </w:r>
      <w:r>
        <w:t xml:space="preserve"> </w:t>
      </w:r>
      <w:r>
        <w:t xml:space="preserve">introduced in that version</w:t>
      </w:r>
      <w:r>
        <w:rPr>
          <w:rStyle w:val="FootnoteReference"/>
        </w:rPr>
        <w:footnoteReference w:id="24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consists of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Development used R version 4.5.2. A comprehensive test suite runs as a GitHub</w:t>
      </w:r>
      <w:r>
        <w:t xml:space="preserve"> </w:t>
      </w:r>
      <w:r>
        <w:t xml:space="preserve">Action and on the Comprehensive R Archive Network (CRAN). An additional test</w:t>
      </w:r>
      <w:r>
        <w:t xml:space="preserve"> </w:t>
      </w:r>
      <w:r>
        <w:t xml:space="preserve">suite runs on demand for all released versions of R ≥ 3.5.0 without</w:t>
      </w:r>
      <w:r>
        <w:t xml:space="preserve"> </w:t>
      </w:r>
      <w:r>
        <w:t xml:space="preserve">suggested packages, and for versions ≥ 4.4.0 with suggested packages</w:t>
      </w:r>
      <w:r>
        <w:rPr>
          <w:rStyle w:val="FootnoteReference"/>
        </w:rPr>
        <w:footnoteReference w:id="25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these examples. The MIMIC-IV v3.1 dataset is a large, publicly available</w:t>
      </w:r>
      <w:r>
        <w:t xml:space="preserve"> </w:t>
      </w:r>
      <w:r>
        <w:t xml:space="preserve">clinical database containing de-identified health data from patients admitted to</w:t>
      </w:r>
      <w:r>
        <w:t xml:space="preserve"> </w:t>
      </w:r>
      <w:r>
        <w:t xml:space="preserve">intensive care units at Beth Israel Deaconess Medical Center. It includes</w:t>
      </w:r>
      <w:r>
        <w:t xml:space="preserve"> </w:t>
      </w:r>
      <w:r>
        <w:t xml:space="preserve">detailed information on diagnoses, procedures, laboratory results, medications,</w:t>
      </w:r>
      <w:r>
        <w:t xml:space="preserve"> </w:t>
      </w:r>
      <w:r>
        <w:t xml:space="preserve">and hospital encounters, with ICD-9-CM and ICD-10-CM/PCS codes available for</w:t>
      </w:r>
      <w:r>
        <w:t xml:space="preserve"> </w:t>
      </w:r>
      <w:r>
        <w:t xml:space="preserve">billing and comorbidity research. MIMIC-IV is widely used for method</w:t>
      </w:r>
      <w:r>
        <w:t xml:space="preserve"> </w:t>
      </w:r>
      <w:r>
        <w:t xml:space="preserve">development, validation, and reproducible research in clinical informatics and</w:t>
      </w:r>
      <w:r>
        <w:t xml:space="preserve"> </w:t>
      </w:r>
      <w:r>
        <w:t xml:space="preserve">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28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29"/>
    <w:bookmarkStart w:id="30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Within the MIMIC-IV v3.1 dataset there are</w:t>
      </w:r>
      <w:r>
        <w:t xml:space="preserve"> </w:t>
      </w:r>
      <w:r>
        <w:t xml:space="preserve">7,365,770 total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 versions.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SourceCode"/>
      </w:pPr>
      <w:r>
        <w:rPr>
          <w:rStyle w:val="NormalTok"/>
        </w:rPr>
        <w:t xml:space="preserve">medicalcoder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comorbidities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Required inputs: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object inheriting data.frame; one ICD code per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icd.codes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character; name of column in data containing ICD codes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   =</w:t>
      </w:r>
      <w:r>
        <w:rPr>
          <w:rStyle w:val="NormalTok"/>
        </w:rPr>
        <w:t xml:space="preserve"> ,   </w:t>
      </w:r>
      <w:r>
        <w:rPr>
          <w:rStyle w:val="CommentTok"/>
        </w:rPr>
        <w:t xml:space="preserve"># &lt;family&gt;_&lt;variant&gt;, e.g., "charlson_quan2005"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inputs controlling grouping and code attributes: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id.vars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encounter identifiers (see text below)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icdv.var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ICD version (9 or 10)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icdv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ICD version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dx.var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indicating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  diagnosis (1) or procedure (0)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dx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dx indicator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poa.var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present-on-admission indicator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poa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integer; constant POA indicator for all rows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age.var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character; column name for age in years (Charlson only)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primarydx.var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character; column name indicating primary diagnosis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primarydx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integer; constant primary dx indicator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Defaults: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flag.method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"current" (encounter-level) or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"cumulative" (longitudinal)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full.codes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reference data[[icd.codes]] against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  full ICD codes, e.g., C4A.111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compact.codes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reference data[[icd.codes]] against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  compact ICD codes, e.g., C4A111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subconditions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PCCC only: return subcondition flags when available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 encounter-</w:t>
      </w:r>
      <w:r>
        <w:t xml:space="preserve"> </w:t>
      </w:r>
      <w:r>
        <w:t xml:space="preserve">level flags. When flag.method =</w:t>
      </w:r>
      <w:r>
        <w:t xml:space="preserve"> </w:t>
      </w:r>
      <w:r>
        <w:t xml:space="preserve">“current”</w:t>
      </w:r>
      <w:r>
        <w:t xml:space="preserve">, id.vars is optional: if omitted,</w:t>
      </w:r>
      <w:r>
        <w:t xml:space="preserve"> </w:t>
      </w:r>
      <w:r>
        <w:t xml:space="preserve">the entire dataset is treated as a single encounter and a single row of flags is</w:t>
      </w:r>
      <w:r>
        <w:t xml:space="preserve"> </w:t>
      </w:r>
      <w:r>
        <w:t xml:space="preserve">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(or unit)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 and</w:t>
      </w:r>
      <w:r>
        <w:t xml:space="preserve"> </w:t>
      </w:r>
      <w:r>
        <w:t xml:space="preserve">class consistent with the input. The data.frame has column(s) 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 an indicator column each of the relevant comorbidities.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Finally, note that longitudinal flagging is algorithm-dependent. 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In the supplement is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MIMIC-IV,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1. The package GitHub has details on benchmarking</w:t>
      </w:r>
      <w:r>
        <w:t xml:space="preserve"> </w:t>
      </w:r>
      <w:r>
        <w:t xml:space="preserve">by input data class and size.</w:t>
      </w:r>
    </w:p>
    <w:bookmarkEnd w:id="30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or tightly controlled software installations. Relying only on</w:t>
      </w:r>
      <w:r>
        <w:t xml:space="preserve"> </w:t>
      </w:r>
      <w:r>
        <w:t xml:space="preserve">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</w:t>
      </w:r>
      <w:r>
        <w:t xml:space="preserve"> </w:t>
      </w:r>
      <w:r>
        <w:t xml:space="preserve">3.5.0 is available, addressing a common but under-discussed barrier to</w:t>
      </w:r>
      <w:r>
        <w:t xml:space="preserve"> </w:t>
      </w:r>
      <w:r>
        <w:t xml:space="preserve">reproducible 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Funding Statement:</w:t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31"/>
    <w:bookmarkEnd w:id="32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34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33">
        <w:r>
          <w:rPr>
            <w:rStyle w:val="Hyperlink"/>
          </w:rPr>
          <w:t xml:space="preserve">10.1097/01.mlr.0000182534.19832.83</w:t>
        </w:r>
      </w:hyperlink>
    </w:p>
    <w:bookmarkEnd w:id="34"/>
    <w:bookmarkStart w:id="36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35">
        <w:r>
          <w:rPr>
            <w:rStyle w:val="Hyperlink"/>
          </w:rPr>
          <w:t xml:space="preserve">10.1093/aje/kwq433</w:t>
        </w:r>
      </w:hyperlink>
    </w:p>
    <w:bookmarkEnd w:id="36"/>
    <w:bookmarkStart w:id="38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7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38"/>
    <w:bookmarkStart w:id="40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40"/>
    <w:bookmarkStart w:id="42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41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42"/>
    <w:bookmarkStart w:id="44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44"/>
    <w:bookmarkStart w:id="45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45"/>
    <w:bookmarkStart w:id="46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46"/>
    <w:bookmarkStart w:id="47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47"/>
    <w:bookmarkStart w:id="49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48">
        <w:r>
          <w:rPr>
            <w:rStyle w:val="Hyperlink"/>
          </w:rPr>
          <w:t xml:space="preserve">10.21105/joss.00648</w:t>
        </w:r>
      </w:hyperlink>
    </w:p>
    <w:bookmarkEnd w:id="49"/>
    <w:bookmarkStart w:id="51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50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51"/>
    <w:bookmarkStart w:id="52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52"/>
    <w:bookmarkStart w:id="54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54"/>
    <w:bookmarkStart w:id="56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56"/>
    <w:bookmarkStart w:id="58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8"/>
    <w:bookmarkStart w:id="60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60"/>
    <w:bookmarkStart w:id="62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61">
        <w:r>
          <w:rPr>
            <w:rStyle w:val="Hyperlink"/>
          </w:rPr>
          <w:t xml:space="preserve">10.1001/jamapediatrics.2018.0256</w:t>
        </w:r>
      </w:hyperlink>
    </w:p>
    <w:bookmarkEnd w:id="62"/>
    <w:bookmarkStart w:id="63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63"/>
    <w:bookmarkStart w:id="65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4">
        <w:r>
          <w:rPr>
            <w:rStyle w:val="Hyperlink"/>
          </w:rPr>
          <w:t xml:space="preserve">10.13026/kpb9-mt58</w:t>
        </w:r>
      </w:hyperlink>
    </w:p>
    <w:bookmarkEnd w:id="65"/>
    <w:bookmarkStart w:id="66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6"/>
    <w:bookmarkStart w:id="68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7">
        <w:r>
          <w:rPr>
            <w:rStyle w:val="Hyperlink"/>
          </w:rPr>
          <w:t xml:space="preserve">10.1161/01.cir.101.23.e215</w:t>
        </w:r>
      </w:hyperlink>
    </w:p>
    <w:bookmarkEnd w:id="68"/>
    <w:bookmarkEnd w:id="69"/>
    <w:p>
      <w:r>
        <w:br w:type="page"/>
      </w:r>
    </w:p>
    <w:bookmarkEnd w:id="70"/>
    <w:bookmarkStart w:id="71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</w:t>
      </w:r>
      <w:r>
        <w:t xml:space="preserve"> </w:t>
      </w:r>
      <w:r>
        <w:t xml:space="preserve">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method. The MIMIC-IV code time is based on</w:t>
      </w:r>
      <w:r>
        <w:t xml:space="preserve"> </w:t>
      </w:r>
      <w:r>
        <w:t xml:space="preserve">running RSQLite code for a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MIMIC-IV dataset. Applying the each of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 illustrating the</w:t>
      </w:r>
      <w:r>
        <w:t xml:space="preserve"> </w:t>
      </w:r>
      <w:r>
        <w:t xml:space="preserve">limited comorbidities method provided by the utility. The times were recorded</w:t>
      </w:r>
      <w:r>
        <w:t xml:space="preserve"> </w:t>
      </w:r>
      <w:r>
        <w:t xml:space="preserve">when building the supplement in R version 4.5.2 (2025-10-31) on macOS Sonoma 14.8.3</w:t>
      </w:r>
      <w:r>
        <w:t xml:space="preserve"> </w:t>
      </w:r>
      <w:r>
        <w:t xml:space="preserve">with 16.0 GB RAM.</w:t>
      </w:r>
    </w:p>
    <w:bookmarkEnd w:id="71"/>
    <w:sectPr w:rsidR="00A6194A" w:rsidRPr="003A1AFF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8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3A1AFF"/>
    <w:rsid w:val="003B4E24"/>
    <w:rsid w:val="007548E3"/>
    <w:rsid w:val="007723D8"/>
    <w:rsid w:val="008A7161"/>
    <w:rsid w:val="00927A08"/>
    <w:rsid w:val="00A46FFD"/>
    <w:rsid w:val="00A6194A"/>
    <w:rsid w:val="00DB136A"/>
    <w:rsid w:val="00F95EE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7548E3"/>
    <w:pPr>
      <w:spacing w:line="240" w:lineRule="auto"/>
    </w:pPr>
    <w:rPr>
      <w:i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2026-02-15T16:05:26Z</dcterms:created>
  <dcterms:modified xsi:type="dcterms:W3CDTF">2026-02-15T16:05:26Z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