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1812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150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reference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more accurately and consistently, improving the quality</w:t>
            </w:r>
            <w:r>
              <w:t xml:space="preserve"> </w:t>
            </w:r>
            <w:r>
              <w:t xml:space="preserve">and reproducibility of studies using electronic health record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correctly classified.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8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</w:t>
      </w:r>
      <w:r>
        <w:t xml:space="preserve"> </w:t>
      </w:r>
      <w:r>
        <w:t xml:space="preserve">and tightly controled system settings and software. No external namespaces are imported; R ≥</w:t>
      </w:r>
      <w:r>
        <w:t xml:space="preserve"> </w:t>
      </w:r>
      <w:r>
        <w:t xml:space="preserve">3.5.0 is the only required dependency, reflecting changes to R’s serialization</w:t>
      </w:r>
      <w:r>
        <w:t xml:space="preserve"> </w:t>
      </w:r>
      <w:r>
        <w:t xml:space="preserve">format introduced in that version</w:t>
      </w:r>
      <w:r>
        <w:rPr>
          <w:rStyle w:val="FootnoteReference"/>
        </w:rPr>
        <w:footnoteReference w:id="13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includes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4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17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18"/>
    <w:bookmarkStart w:id="19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 column-based form takes precedence with a warning.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class consistent with</w:t>
      </w:r>
      <w:r>
        <w:t xml:space="preserve"> </w:t>
      </w:r>
      <w:r>
        <w:t xml:space="preserve">the input,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 Accumulation of encounter-level flags is insufficient to</w:t>
      </w:r>
      <w:r>
        <w:t xml:space="preserve"> </w:t>
      </w:r>
      <w:r>
        <w:t xml:space="preserve">capture comorbidities and/or the severity of disease.</w:t>
      </w:r>
    </w:p>
    <w:p>
      <w:pPr>
        <w:pStyle w:val="BodyText"/>
      </w:pPr>
      <w:r>
        <w:t xml:space="preserve">Figure 2 shows the impact on risk profiles for subjects and encounters by</w:t>
      </w:r>
      <w:r>
        <w:t xml:space="preserve"> </w:t>
      </w:r>
      <w:r>
        <w:t xml:space="preserve">flagging method and algorithm. For example,</w:t>
      </w:r>
      <w:r>
        <w:t xml:space="preserve"> </w:t>
      </w:r>
      <w:r>
        <w:t xml:space="preserve">For 92,536 subjects with at least two encounters and at least one Elixhauser</w:t>
      </w:r>
      <w:r>
        <w:t xml:space="preserve"> </w:t>
      </w:r>
      <w:r>
        <w:t xml:space="preserve">comorbidity flagged on encounter 2 via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t xml:space="preserve">68,085 (73.6%) subjects have at least one encounter with a different risk profile</w:t>
      </w:r>
      <w:r>
        <w:t xml:space="preserve"> </w:t>
      </w:r>
      <w:r>
        <w:t xml:space="preserve">(different classification of comorbidities and/or count 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</w:t>
      </w:r>
      <w:r>
        <w:t xml:space="preserve"> </w:t>
      </w:r>
      <w:r>
        <w:t xml:space="preserve">10,553 (11.4%) subjects had at least one encouter with zero 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Naïve post hoc accumulation of encounter-level flags can miss conditions.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The supplement details comparisons with MIMIC-IV code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Charlson flags matched</w:t>
      </w:r>
      <w:r>
        <w:t xml:space="preserve"> </w:t>
      </w:r>
      <w:r>
        <w:t xml:space="preserve">MIMIC-IV code, and 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. For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missed malignancies related to ICD-10-CM codes C4A.x; for PCCC</w:t>
      </w:r>
      <w:r>
        <w:t xml:space="preserve"> </w:t>
      </w:r>
      <w:r>
        <w:t xml:space="preserve">v2,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mapping errors.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3. The package GitHub has details on benchmarking</w:t>
      </w:r>
      <w:r>
        <w:t xml:space="preserve"> </w:t>
      </w:r>
      <w:r>
        <w:t xml:space="preserve">by input data class and size.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9"/>
    <w:bookmarkStart w:id="2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20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1.9.35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20"/>
    <w:bookmarkEnd w:id="21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23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2">
        <w:r>
          <w:rPr>
            <w:rStyle w:val="Hyperlink"/>
          </w:rPr>
          <w:t xml:space="preserve">10.1097/01.mlr.0000182534.19832.83</w:t>
        </w:r>
      </w:hyperlink>
    </w:p>
    <w:bookmarkEnd w:id="23"/>
    <w:bookmarkStart w:id="25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4">
        <w:r>
          <w:rPr>
            <w:rStyle w:val="Hyperlink"/>
          </w:rPr>
          <w:t xml:space="preserve">10.1093/aje/kwq433</w:t>
        </w:r>
      </w:hyperlink>
    </w:p>
    <w:bookmarkEnd w:id="25"/>
    <w:bookmarkStart w:id="27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7"/>
    <w:bookmarkStart w:id="29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8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9"/>
    <w:bookmarkStart w:id="31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30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1"/>
    <w:bookmarkStart w:id="33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3"/>
    <w:bookmarkStart w:id="34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4"/>
    <w:bookmarkStart w:id="35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5"/>
    <w:bookmarkStart w:id="36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6"/>
    <w:bookmarkStart w:id="38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7">
        <w:r>
          <w:rPr>
            <w:rStyle w:val="Hyperlink"/>
          </w:rPr>
          <w:t xml:space="preserve">10.21105/joss.00648</w:t>
        </w:r>
      </w:hyperlink>
    </w:p>
    <w:bookmarkEnd w:id="38"/>
    <w:bookmarkStart w:id="40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40"/>
    <w:bookmarkStart w:id="41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1"/>
    <w:bookmarkStart w:id="43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3"/>
    <w:bookmarkStart w:id="45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4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5"/>
    <w:bookmarkStart w:id="47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6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47"/>
    <w:bookmarkStart w:id="49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8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49"/>
    <w:bookmarkStart w:id="51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0">
        <w:r>
          <w:rPr>
            <w:rStyle w:val="Hyperlink"/>
          </w:rPr>
          <w:t xml:space="preserve">10.1001/jamapediatrics.2018.0256</w:t>
        </w:r>
      </w:hyperlink>
    </w:p>
    <w:bookmarkEnd w:id="51"/>
    <w:bookmarkStart w:id="52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2"/>
    <w:bookmarkStart w:id="54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53">
        <w:r>
          <w:rPr>
            <w:rStyle w:val="Hyperlink"/>
          </w:rPr>
          <w:t xml:space="preserve">10.13026/kpb9-mt58</w:t>
        </w:r>
      </w:hyperlink>
    </w:p>
    <w:bookmarkEnd w:id="54"/>
    <w:bookmarkStart w:id="55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55"/>
    <w:bookmarkStart w:id="57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56">
        <w:r>
          <w:rPr>
            <w:rStyle w:val="Hyperlink"/>
          </w:rPr>
          <w:t xml:space="preserve">10.1161/01.cir.101.23.e215</w:t>
        </w:r>
      </w:hyperlink>
    </w:p>
    <w:bookmarkEnd w:id="57"/>
    <w:bookmarkEnd w:id="58"/>
    <w:p>
      <w:r>
        <w:br w:type="page"/>
      </w:r>
    </w:p>
    <w:bookmarkEnd w:id="59"/>
    <w:bookmarkStart w:id="60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 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Panel (A) uses as its denominator subjects with at</w:t>
      </w:r>
      <w:r>
        <w:t xml:space="preserve"> </w:t>
      </w:r>
      <w:r>
        <w:t xml:space="preserve">least two encounters and at least one comorbidity flagged on encounter 2. Panel</w:t>
      </w:r>
      <w:r>
        <w:t xml:space="preserve"> </w:t>
      </w:r>
      <w:r>
        <w:t xml:space="preserve">(B) uses as its denominator non-initial encounters with at least one</w:t>
      </w:r>
      <w:r>
        <w:t xml:space="preserve"> </w:t>
      </w:r>
      <w:r>
        <w:t xml:space="preserve">comorbidity 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 longitudinal flagging</w:t>
      </w:r>
      <w:r>
        <w:t xml:space="preserve"> </w:t>
      </w:r>
      <w:r>
        <w:t xml:space="preserve">changes comorbidity results relative to encounter-level current flagging for</w:t>
      </w:r>
      <w:r>
        <w:t xml:space="preserve"> </w:t>
      </w:r>
      <w:r>
        <w:t xml:space="preserve">three algorithms: Charlson, Elixhauser, and PCCC v3.1. Panel A shows the</w:t>
      </w:r>
      <w:r>
        <w:t xml:space="preserve"> </w:t>
      </w:r>
      <w:r>
        <w:t xml:space="preserve">percentage of subjects and Panel B shows the percentage of encounters in four</w:t>
      </w:r>
      <w:r>
        <w:t xml:space="preserve"> </w:t>
      </w:r>
      <w:r>
        <w:t xml:space="preserve">categories: different risk profile, zero encounter-level comorbidities but at</w:t>
      </w:r>
      <w:r>
        <w:t xml:space="preserve"> </w:t>
      </w:r>
      <w:r>
        <w:t xml:space="preserve">least one longitudinal comorbidity, only differences in classification, and</w:t>
      </w:r>
      <w:r>
        <w:t xml:space="preserve"> </w:t>
      </w:r>
      <w:r>
        <w:t xml:space="preserve">differences in classification and/or additional comorbidities. Across both</w:t>
      </w:r>
      <w:r>
        <w:t xml:space="preserve"> </w:t>
      </w:r>
      <w:r>
        <w:t xml:space="preserve">panels, the largest percentages are for different risk profile and for</w:t>
      </w:r>
      <w:r>
        <w:t xml:space="preserve"> </w:t>
      </w:r>
      <w:r>
        <w:t xml:space="preserve">differences in classification and/or additional comorbidities, with Elixhauser</w:t>
      </w:r>
      <w:r>
        <w:t xml:space="preserve"> </w:t>
      </w:r>
      <w:r>
        <w:t xml:space="preserve">generally highest, PCCC v3.1 intermediate, and Charlson lowest; the other two</w:t>
      </w:r>
      <w:r>
        <w:t xml:space="preserve"> </w:t>
      </w:r>
      <w:r>
        <w:t xml:space="preserve">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4.5.2 (2025-10-31) on</w:t>
      </w:r>
      <w:r>
        <w:t xml:space="preserve"> </w:t>
      </w:r>
      <w:r>
        <w:t xml:space="preserve">macOS Sonoma 14.8.3 with a Intel(R) Core(TM) i9-9880H CPU @ 2.30GHz and 16.0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 seconds to flag comorbidities in</w:t>
      </w:r>
      <w:r>
        <w:t xml:space="preserve"> </w:t>
      </w:r>
      <w:r>
        <w:t xml:space="preserve">the MIMIC-IV v3.1 dataset (N = 10 iterations). 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60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networkopen.2024.20579" TargetMode="External" /><Relationship Type="http://schemas.openxmlformats.org/officeDocument/2006/relationships/hyperlink" Id="rId50" Target="https://doi.org/10.1001/jamapediatrics.2018.0256" TargetMode="External" /><Relationship Type="http://schemas.openxmlformats.org/officeDocument/2006/relationships/hyperlink" Id="rId24" Target="https://doi.org/10.1093/aje/kwq433" TargetMode="External" /><Relationship Type="http://schemas.openxmlformats.org/officeDocument/2006/relationships/hyperlink" Id="rId22" Target="https://doi.org/10.1097/01.mlr.0000182534.19832.83" TargetMode="External" /><Relationship Type="http://schemas.openxmlformats.org/officeDocument/2006/relationships/hyperlink" Id="rId56" Target="https://doi.org/10.1161/01.cir.101.23.e215" TargetMode="External" /><Relationship Type="http://schemas.openxmlformats.org/officeDocument/2006/relationships/hyperlink" Id="rId28" Target="https://doi.org/10.1186/1471-2431-14-199" TargetMode="External" /><Relationship Type="http://schemas.openxmlformats.org/officeDocument/2006/relationships/hyperlink" Id="rId53" Target="https://doi.org/10.13026/kpb9-mt58" TargetMode="External" /><Relationship Type="http://schemas.openxmlformats.org/officeDocument/2006/relationships/hyperlink" Id="rId37" Target="https://doi.org/10.21105/joss.00648" TargetMode="External" /><Relationship Type="http://schemas.openxmlformats.org/officeDocument/2006/relationships/hyperlink" Id="rId46" Target="https://doi.org/10.32614/CRAN.package.data.table" TargetMode="External" /><Relationship Type="http://schemas.openxmlformats.org/officeDocument/2006/relationships/hyperlink" Id="rId48" Target="https://doi.org/10.32614/CRAN.package.dplyr" TargetMode="External" /><Relationship Type="http://schemas.openxmlformats.org/officeDocument/2006/relationships/hyperlink" Id="rId42" Target="https://doi.org/10.32614/CRAN.package.icdcomorbid" TargetMode="External" /><Relationship Type="http://schemas.openxmlformats.org/officeDocument/2006/relationships/hyperlink" Id="rId44" Target="https://doi.org/10.32614/CRAN.package.multimorbidity" TargetMode="External" /><Relationship Type="http://schemas.openxmlformats.org/officeDocument/2006/relationships/hyperlink" Id="rId39" Target="https://github.com/CUD2V/pccc" TargetMode="External" /><Relationship Type="http://schemas.openxmlformats.org/officeDocument/2006/relationships/hyperlink" Id="rId30" Target="https://hcup-us.ahrq.gov/toolssoftware/comorbidityicd10/comorbidity_icd10.jsp" TargetMode="External" /><Relationship Type="http://schemas.openxmlformats.org/officeDocument/2006/relationships/hyperlink" Id="rId32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2026-03-17T20:15:50Z</dcterms:created>
  <dcterms:modified xsi:type="dcterms:W3CDTF">2026-03-17T20:15:50Z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