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1983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2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150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is fragmented, inconsistently</w:t>
      </w:r>
      <w:r>
        <w:t xml:space="preserve"> </w:t>
      </w:r>
      <w:r>
        <w:t xml:space="preserve">handles mixed ICD-9/10 data, and typically operates at the encounter level. We</w:t>
      </w:r>
      <w:r>
        <w:t xml:space="preserve"> </w:t>
      </w:r>
      <w:r>
        <w:t xml:space="preserve">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multiple variants of the Charlson, Elixhauser, and</w:t>
      </w:r>
      <w:r>
        <w:t xml:space="preserve"> </w:t>
      </w:r>
      <w:r>
        <w:t xml:space="preserve">Pediatric Complex Chronic Conditions algorithms. It supports full and compact</w:t>
      </w:r>
      <w:r>
        <w:t xml:space="preserve"> </w:t>
      </w:r>
      <w:r>
        <w:t xml:space="preserve">ICD codes, mixed ICD versions, present-on-admission and primary diagnosis</w:t>
      </w:r>
      <w:r>
        <w:t xml:space="preserve"> </w:t>
      </w:r>
      <w:r>
        <w:t xml:space="preserve">indicators, and both 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3.5.0. No additional packages,</w:t>
      </w:r>
      <w:r>
        <w:t xml:space="preserve"> </w:t>
      </w:r>
      <w:r>
        <w:t xml:space="preserve">internet access, or external data downloads are required. Outputs are consistent</w:t>
      </w:r>
      <w:r>
        <w:t xml:space="preserve"> </w:t>
      </w:r>
      <w:r>
        <w:t xml:space="preserve">with published reference implementations. Longitudinal flagging captured comorbidities not</w:t>
      </w:r>
      <w:r>
        <w:t xml:space="preserve"> </w:t>
      </w:r>
      <w:r>
        <w:t xml:space="preserve">identified through naïve encounter-level aggregation for algorithms</w:t>
      </w:r>
      <w:r>
        <w:t xml:space="preserve"> </w:t>
      </w:r>
      <w:r>
        <w:t xml:space="preserve">incorporating 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it does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correctly classified.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8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</w:t>
      </w:r>
      <w:r>
        <w:t xml:space="preserve"> </w:t>
      </w:r>
      <w:r>
        <w:t xml:space="preserve">and tightly controled system settings and software. No external namespaces are imported; R ≥</w:t>
      </w:r>
      <w:r>
        <w:t xml:space="preserve"> </w:t>
      </w:r>
      <w:r>
        <w:t xml:space="preserve">3.5.0 is the only required dependency, reflecting changes to R’s serialization</w:t>
      </w:r>
      <w:r>
        <w:t xml:space="preserve"> </w:t>
      </w:r>
      <w:r>
        <w:t xml:space="preserve">format introduced in that version</w:t>
      </w:r>
      <w:r>
        <w:rPr>
          <w:rStyle w:val="FootnoteReference"/>
        </w:rPr>
        <w:footnoteReference w:id="13"/>
      </w:r>
      <w:r>
        <w:t xml:space="preserve">. Several packages are suggested for enhanced</w:t>
      </w:r>
      <w:r>
        <w:t xml:space="preserve"> </w:t>
      </w:r>
      <w:r>
        <w:t xml:space="preserve">performance 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</w:t>
      </w:r>
      <w:r>
        <w:t xml:space="preserve"> </w:t>
      </w:r>
      <w:r>
        <w:t xml:space="preserve">and 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4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17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8"/>
    <w:bookmarkStart w:id="19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). These pairs represent the same conceptual information at two</w:t>
      </w:r>
      <w:r>
        <w:t xml:space="preserve"> </w:t>
      </w:r>
      <w:r>
        <w:t xml:space="preserve">levels of granularity.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 (e.g., all rows are ICD-10, or all rows are diagnoses), whereas</w:t>
      </w:r>
      <w:r>
        <w:t xml:space="preserve"> </w:t>
      </w:r>
      <w:r>
        <w:t xml:space="preserve">arguments with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reference columns in the input data that encode</w:t>
      </w:r>
      <w:r>
        <w:t xml:space="preserve"> </w:t>
      </w:r>
      <w:r>
        <w:t xml:space="preserve">row-level variation.</w:t>
      </w:r>
    </w:p>
    <w:p>
      <w:pPr>
        <w:pStyle w:val="BodyText"/>
      </w:pPr>
      <w:r>
        <w:t xml:space="preserve">This design avoids requiring users to create constant-valued columns when</w:t>
      </w:r>
      <w:r>
        <w:t xml:space="preserve"> </w:t>
      </w:r>
      <w:r>
        <w:t xml:space="preserve">dataset-level properties are already known, while still supporting heterogeneous</w:t>
      </w:r>
      <w:r>
        <w:t xml:space="preserve"> </w:t>
      </w:r>
      <w:r>
        <w:t xml:space="preserve">datasets in which code attributes vary across rows. When both forms are</w:t>
      </w:r>
      <w:r>
        <w:t xml:space="preserve"> </w:t>
      </w:r>
      <w:r>
        <w:t xml:space="preserve">supplied, the column-based form (e.g.,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takes precedence and a warning</w:t>
      </w:r>
      <w:r>
        <w:t xml:space="preserve"> </w:t>
      </w:r>
      <w:r>
        <w:t xml:space="preserve">is issued to indicate the override.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 id.vars is optional: if</w:t>
      </w:r>
      <w:r>
        <w:t xml:space="preserve"> </w:t>
      </w:r>
      <w:r>
        <w:t xml:space="preserve">omitted, the entire dataset is treated as a single encounter and a single row of</w:t>
      </w:r>
      <w:r>
        <w:t xml:space="preserve"> </w:t>
      </w:r>
      <w:r>
        <w:t xml:space="preserve">flags is returned.</w:t>
      </w:r>
    </w:p>
    <w:p>
      <w:pPr>
        <w:pStyle w:val="BodyText"/>
      </w:pPr>
      <w:r>
        <w:t xml:space="preserve">For longitudinal 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</w:t>
      </w:r>
      <w:r>
        <w:t xml:space="preserve"> </w:t>
      </w:r>
      <w:r>
        <w:t xml:space="preserve">at least two variables. The leading variables define the patient and</w:t>
      </w:r>
      <w:r>
        <w:t xml:space="preserve"> </w:t>
      </w:r>
      <w:r>
        <w:t xml:space="preserve">the final variable defines within-patient ordering. Specifically, the data are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and relevant ICD codes reported on encounter i are carried</w:t>
      </w:r>
      <w:r>
        <w:t xml:space="preserve"> </w:t>
      </w:r>
      <w:r>
        <w:t xml:space="preserve">forward to encounters i+1, i+2, … within the same patient history.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 data.frame with additional metadata</w:t>
      </w:r>
      <w:r>
        <w:t xml:space="preserve"> </w:t>
      </w:r>
      <w:r>
        <w:t xml:space="preserve">and class consistent with the input. The returned data frame contains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columns and an indicator column for each comorbidity. All returned</w:t>
      </w:r>
      <w:r>
        <w:t xml:space="preserve"> </w:t>
      </w:r>
      <w:r>
        <w:t xml:space="preserve">data.frames include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for the number of comorbidities flagged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, an indicator column for at least one</w:t>
      </w:r>
      <w:r>
        <w:t xml:space="preserve"> </w:t>
      </w:r>
      <w:r>
        <w:t xml:space="preserve">comorbidity.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for the returns to</w:t>
      </w:r>
      <w:r>
        <w:t xml:space="preserve"> </w:t>
      </w:r>
      <w:r>
        <w:t xml:space="preserve">generate tables of the counts and percentage of encounters flagged, Table 1.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 Accumulation of of encounter-level flags is insufficient to</w:t>
      </w:r>
      <w:r>
        <w:t xml:space="preserve"> </w:t>
      </w:r>
      <w:r>
        <w:t xml:space="preserve">capture comorbidities and/or the severity of disease.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some PCCC v3 conditions depend on whether technology-dependent codes co-occur (or</w:t>
      </w:r>
      <w:r>
        <w:t xml:space="preserve"> </w:t>
      </w:r>
      <w:r>
        <w:t xml:space="preserve">eventually co-occur) with non–technology-dependent codes. Also, Elixhauser from</w:t>
      </w:r>
      <w:r>
        <w:t xml:space="preserve"> </w:t>
      </w:r>
      <w:r>
        <w:t xml:space="preserve">AHRQ post 2022 account for POA status of ICD codes.</w:t>
      </w:r>
      <w:r>
        <w:t xml:space="preserve"> </w:t>
      </w:r>
      <w:r>
        <w:t xml:space="preserve">In these cases, naïve</w:t>
      </w:r>
      <w:r>
        <w:t xml:space="preserve"> </w:t>
      </w:r>
      <w:r>
        <w:t xml:space="preserve">post hoc accumulation of encounter-level flags can miss conditions (Table 2); 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BodyText"/>
      </w:pPr>
      <w:r>
        <w:t xml:space="preserve">Figure 2 shows the large number of additional encounters in the MIMIC-IV data</w:t>
      </w:r>
      <w:r>
        <w:t xml:space="preserve"> </w:t>
      </w:r>
      <w:r>
        <w:t xml:space="preserve">set flagged with comorbidities when 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Severity of disease is also captured in this</w:t>
      </w:r>
      <w:r>
        <w:t xml:space="preserve"> </w:t>
      </w:r>
      <w:r>
        <w:t xml:space="preserve">example. The number of encounters with uncomplicated diabetes via Charlson and</w:t>
      </w:r>
      <w:r>
        <w:t xml:space="preserve"> </w:t>
      </w:r>
      <w:r>
        <w:t xml:space="preserve">Elixhauser decreased from the encounter-level to longitudinal flagging</w:t>
      </w:r>
      <w:r>
        <w:t xml:space="preserve"> </w:t>
      </w:r>
      <w:r>
        <w:t xml:space="preserve">approaches. This is because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accounts for the severity of disease</w:t>
      </w:r>
      <w:r>
        <w:t xml:space="preserve"> </w:t>
      </w:r>
      <w:r>
        <w:t xml:space="preserve">and once a subject has diabetes with complications that will take precedence</w:t>
      </w:r>
      <w:r>
        <w:t xml:space="preserve"> </w:t>
      </w:r>
      <w:r>
        <w:t xml:space="preserve">over diabetes without complications.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The supplement includes a detailed exploration of the flags produced by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versus the code from MIMIC-IV and the R</w:t>
      </w:r>
      <w:r>
        <w:t xml:space="preserve"> </w:t>
      </w:r>
      <w:r>
        <w:t xml:space="preserve">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The flagging of</w:t>
      </w:r>
      <w:r>
        <w:t xml:space="preserve"> </w:t>
      </w:r>
      <w:r>
        <w:t xml:space="preserve">Charlson comorbidities within the MIMIC-IV v3.1 dataset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 MIMIC-IV Code are the same.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we</w:t>
      </w:r>
      <w:r>
        <w:t xml:space="preserve"> </w:t>
      </w:r>
      <w:r>
        <w:t xml:space="preserve">found the same for Elixhauser comorbidities. For Charlson comorbidities we</w:t>
      </w:r>
      <w:r>
        <w:t xml:space="preserve"> </w:t>
      </w:r>
      <w:r>
        <w:t xml:space="preserve">found that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package failed to flag malignancies related to</w:t>
      </w:r>
      <w:r>
        <w:t xml:space="preserve"> </w:t>
      </w:r>
      <w:r>
        <w:t xml:space="preserve">ICD-10-CM codes C4A.x. PCCC v2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errors in the mappings within</w:t>
      </w:r>
      <w:r>
        <w:t xml:space="preserve"> </w:t>
      </w:r>
      <w:r>
        <w:rPr>
          <w:i/>
          <w:iCs/>
        </w:rPr>
        <w:t xml:space="preserve">pccc</w:t>
      </w:r>
      <w:r>
        <w:t xml:space="preserve">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3. The package GitHub has details on benchmarking</w:t>
      </w:r>
      <w:r>
        <w:t xml:space="preserve"> </w:t>
      </w:r>
      <w:r>
        <w:t xml:space="preserve">by input data class and size.</w:t>
      </w:r>
    </w:p>
    <w:p>
      <w:pPr>
        <w:pStyle w:val="BodyText"/>
      </w:pPr>
      <w:r>
        <w:t xml:space="preserve">In addition to the comorbidity interface,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several ICD</w:t>
      </w:r>
      <w:r>
        <w:t xml:space="preserve"> </w:t>
      </w:r>
      <w:r>
        <w:t xml:space="preserve">utility functions designed to support data preparation and validation workflows.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</w:t>
      </w:r>
      <w:r>
        <w:t xml:space="preserve"> </w:t>
      </w:r>
      <w:r>
        <w:t xml:space="preserve">and allows users to retrieve diagnostic or procedure codes by version, type, and</w:t>
      </w:r>
      <w:r>
        <w:t xml:space="preserve"> </w:t>
      </w:r>
      <w:r>
        <w:t xml:space="preserve">code range. The function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provides fast validation of</w:t>
      </w:r>
      <w:r>
        <w:t xml:space="preserve"> </w:t>
      </w:r>
      <w:r>
        <w:t xml:space="preserve">candidate ICD codes, supporting both full and compact representations and mixed</w:t>
      </w:r>
      <w:r>
        <w:t xml:space="preserve"> </w:t>
      </w:r>
      <w:r>
        <w:t xml:space="preserve">ICD-9/ICD-10 datasets. These utilities enable users to inspect and verify ICD</w:t>
      </w:r>
      <w:r>
        <w:t xml:space="preserve"> </w:t>
      </w:r>
      <w:r>
        <w:t xml:space="preserve">content prior to comorbidity classification and to construct reproducible code</w:t>
      </w:r>
      <w:r>
        <w:t xml:space="preserve"> </w:t>
      </w:r>
      <w:r>
        <w:t xml:space="preserve">filters directly from the same internal database used by the comorbidity</w:t>
      </w:r>
      <w:r>
        <w:t xml:space="preserve"> </w:t>
      </w:r>
      <w:r>
        <w:t xml:space="preserve">algorithms.</w:t>
      </w:r>
    </w:p>
    <w:bookmarkEnd w:id="19"/>
    <w:bookmarkStart w:id="2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clinical reality.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Although the primary focus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comorbidity classification, the</w:t>
      </w:r>
      <w:r>
        <w:t xml:space="preserve"> </w:t>
      </w:r>
      <w:r>
        <w:t xml:space="preserve">included ICD utility functions also address a common practical challenge in</w:t>
      </w:r>
      <w:r>
        <w:t xml:space="preserve"> </w:t>
      </w:r>
      <w:r>
        <w:t xml:space="preserve">working with administrative and electronic health record data: verifying and</w:t>
      </w:r>
      <w:r>
        <w:t xml:space="preserve"> </w:t>
      </w:r>
      <w:r>
        <w:t xml:space="preserve">manipulating large collections of ICD codes. By exposing the internal ICD</w:t>
      </w:r>
      <w:r>
        <w:t xml:space="preserve"> </w:t>
      </w:r>
      <w:r>
        <w:t xml:space="preserve">database through functions such as get_icd_codes() and providing validation via</w:t>
      </w:r>
      <w:r>
        <w:t xml:space="preserve"> </w:t>
      </w:r>
      <w:r>
        <w:t xml:space="preserve">is_icd(),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allows analysts to perform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tables, improving</w:t>
      </w:r>
      <w:r>
        <w:t xml:space="preserve"> </w:t>
      </w:r>
      <w:r>
        <w:t xml:space="preserve">transparency and reproducibility when defining cohorts or filtering diagnosis</w:t>
      </w:r>
      <w:r>
        <w:t xml:space="preserve"> </w:t>
      </w:r>
      <w:r>
        <w:t xml:space="preserve">and procedure codes in large clinical 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20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1.9.35</w:t>
      </w:r>
      <w:r>
        <w:t xml:space="preserve"> </w:t>
      </w:r>
      <w:r>
        <w:t xml:space="preserve">(https://quarto.org/) and R version 4.5.2 (2025-10-31).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SR, MR, and TDB all contributed to the conception, design,</w:t>
      </w:r>
      <w:r>
        <w:t xml:space="preserve"> </w:t>
      </w:r>
      <w:r>
        <w:t xml:space="preserve">and interpretation and provided important feedback. TDB provided funding. All</w:t>
      </w:r>
      <w:r>
        <w:t xml:space="preserve"> </w:t>
      </w:r>
      <w:r>
        <w:t xml:space="preserve">authors critically reviewed the manuscript for important intellectual content</w:t>
      </w:r>
      <w:r>
        <w:t xml:space="preserve"> </w:t>
      </w:r>
      <w:r>
        <w:t xml:space="preserve">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20"/>
    <w:bookmarkEnd w:id="21"/>
    <w:bookmarkStart w:id="59" w:name="references"/>
    <w:p>
      <w:pPr>
        <w:pStyle w:val="Heading1"/>
      </w:pPr>
      <w:r>
        <w:t xml:space="preserve">References</w:t>
      </w:r>
    </w:p>
    <w:bookmarkStart w:id="58" w:name="refs"/>
    <w:bookmarkStart w:id="23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2">
        <w:r>
          <w:rPr>
            <w:rStyle w:val="Hyperlink"/>
          </w:rPr>
          <w:t xml:space="preserve">10.1097/01.mlr.0000182534.19832.83</w:t>
        </w:r>
      </w:hyperlink>
    </w:p>
    <w:bookmarkEnd w:id="23"/>
    <w:bookmarkStart w:id="25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4">
        <w:r>
          <w:rPr>
            <w:rStyle w:val="Hyperlink"/>
          </w:rPr>
          <w:t xml:space="preserve">10.1093/aje/kwq433</w:t>
        </w:r>
      </w:hyperlink>
    </w:p>
    <w:bookmarkEnd w:id="25"/>
    <w:bookmarkStart w:id="27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6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7"/>
    <w:bookmarkStart w:id="29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8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9"/>
    <w:bookmarkStart w:id="31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30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1"/>
    <w:bookmarkStart w:id="33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2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3"/>
    <w:bookmarkStart w:id="34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4"/>
    <w:bookmarkStart w:id="35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5"/>
    <w:bookmarkStart w:id="36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6"/>
    <w:bookmarkStart w:id="38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7">
        <w:r>
          <w:rPr>
            <w:rStyle w:val="Hyperlink"/>
          </w:rPr>
          <w:t xml:space="preserve">10.21105/joss.00648</w:t>
        </w:r>
      </w:hyperlink>
    </w:p>
    <w:bookmarkEnd w:id="38"/>
    <w:bookmarkStart w:id="40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40"/>
    <w:bookmarkStart w:id="41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1"/>
    <w:bookmarkStart w:id="43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3"/>
    <w:bookmarkStart w:id="45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4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5"/>
    <w:bookmarkStart w:id="47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47"/>
    <w:bookmarkStart w:id="49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8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49"/>
    <w:bookmarkStart w:id="51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50">
        <w:r>
          <w:rPr>
            <w:rStyle w:val="Hyperlink"/>
          </w:rPr>
          <w:t xml:space="preserve">10.1001/jamapediatrics.2018.0256</w:t>
        </w:r>
      </w:hyperlink>
    </w:p>
    <w:bookmarkEnd w:id="51"/>
    <w:bookmarkStart w:id="52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2"/>
    <w:bookmarkStart w:id="54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3">
        <w:r>
          <w:rPr>
            <w:rStyle w:val="Hyperlink"/>
          </w:rPr>
          <w:t xml:space="preserve">10.13026/kpb9-mt58</w:t>
        </w:r>
      </w:hyperlink>
    </w:p>
    <w:bookmarkEnd w:id="54"/>
    <w:bookmarkStart w:id="55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55"/>
    <w:bookmarkStart w:id="57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56">
        <w:r>
          <w:rPr>
            <w:rStyle w:val="Hyperlink"/>
          </w:rPr>
          <w:t xml:space="preserve">10.1161/01.cir.101.23.e215</w:t>
        </w:r>
      </w:hyperlink>
    </w:p>
    <w:bookmarkEnd w:id="57"/>
    <w:bookmarkEnd w:id="58"/>
    <w:p>
      <w:r>
        <w:br w:type="page"/>
      </w:r>
    </w:p>
    <w:bookmarkEnd w:id="59"/>
    <w:bookmarkStart w:id="60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 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</w:p>
    <w:p>
      <w:pPr>
        <w:pStyle w:val="BodyText"/>
      </w:pPr>
      <w:r>
        <w:rPr>
          <w:b/>
          <w:bCs/>
        </w:rPr>
        <w:t xml:space="preserve">Figure 2 ALT TEXT: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time required to flag comorbidities in the MIMIC-IV v3.1</w:t>
      </w:r>
      <w:r>
        <w:t xml:space="preserve"> </w:t>
      </w:r>
      <w:r>
        <w:t xml:space="preserve">dataset 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method. The MIMIC-IV code time is based on</w:t>
      </w:r>
      <w:r>
        <w:t xml:space="preserve"> </w:t>
      </w:r>
      <w:r>
        <w:t xml:space="preserve">running RSQLite code for an in-memory 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 aggregations to handle the mixed use of ICD-9</w:t>
      </w:r>
      <w:r>
        <w:t xml:space="preserve"> </w:t>
      </w:r>
      <w:r>
        <w:t xml:space="preserve">and ICD-10 within the MIMIC-IV dataset. Applying each of the</w:t>
      </w:r>
      <w:r>
        <w:t xml:space="preserve"> </w:t>
      </w:r>
      <w:r>
        <w:t xml:space="preserve">comorbidity algorithms and flagging methods 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</w:t>
      </w:r>
      <w:r>
        <w:t xml:space="preserve"> </w:t>
      </w:r>
      <w:r>
        <w:t xml:space="preserve">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 illustrating the</w:t>
      </w:r>
      <w:r>
        <w:t xml:space="preserve"> </w:t>
      </w:r>
      <w:r>
        <w:t xml:space="preserve">limited comorbidities method provided by the utility. The times were recorded</w:t>
      </w:r>
      <w:r>
        <w:t xml:space="preserve"> </w:t>
      </w:r>
      <w:r>
        <w:t xml:space="preserve">when building the supplement in R version 4.5.2 (2025-10-31) on macOS Sonoma 14.8.3</w:t>
      </w:r>
      <w:r>
        <w:t xml:space="preserve"> </w:t>
      </w:r>
      <w:r>
        <w:t xml:space="preserve">with a Intel(R) Core(TM) i9-9880H CPU @ 2.30GHz and 16.0 GB RAM.</w:t>
      </w:r>
    </w:p>
    <w:p>
      <w:pPr>
        <w:pStyle w:val="BodyText"/>
      </w:pPr>
      <w:r>
        <w:rPr>
          <w:b/>
          <w:bCs/>
        </w:rPr>
        <w:t xml:space="preserve">Figure 3 ALT TEXT:</w:t>
      </w:r>
    </w:p>
    <w:p>
      <w:pPr>
        <w:pStyle w:val="BodyText"/>
      </w:pPr>
      <w:r>
        <w:t xml:space="preserve">Four-panel grouped bar chart showing time in seconds to flag comorbidities in</w:t>
      </w:r>
      <w:r>
        <w:t xml:space="preserve"> </w:t>
      </w:r>
      <w:r>
        <w:t xml:space="preserve">the MIMIC-IV v3.1 dataset. 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</w:t>
      </w:r>
      <w:r>
        <w:t xml:space="preserve"> </w:t>
      </w:r>
      <w:r>
        <w:t xml:space="preserve">algorithms: Charlson, Elixhauser, PCCC version 2.0, and PCCC version 3.1. The</w:t>
      </w:r>
      <w:r>
        <w:t xml:space="preserve"> </w:t>
      </w:r>
      <w:r>
        <w:t xml:space="preserve">y-axis is time in seconds from 0 to about 160. Blue bars indicate cumulative</w:t>
      </w:r>
      <w:r>
        <w:t xml:space="preserve"> </w:t>
      </w:r>
      <w:r>
        <w:t xml:space="preserve">flagging and maroon bars indicate current 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</w:t>
      </w:r>
      <w:r>
        <w:t xml:space="preserve"> </w:t>
      </w:r>
      <w:r>
        <w:t xml:space="preserve">cumulative bars as it is the only utility natively supporting cumulative</w:t>
      </w:r>
      <w:r>
        <w:t xml:space="preserve"> </w:t>
      </w:r>
      <w:r>
        <w:t xml:space="preserve">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 every comparison shown, with times</w:t>
      </w:r>
      <w:r>
        <w:t xml:space="preserve"> </w:t>
      </w:r>
      <w:r>
        <w:t xml:space="preserve">of about 3 to 14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54 seconds for current Charlson, 76 seconds</w:t>
      </w:r>
      <w:r>
        <w:t xml:space="preserve"> </w:t>
      </w:r>
      <w:r>
        <w:t xml:space="preserve">for current Elixhauser. The MIMIC-IV code panel shows a single current Charlson</w:t>
      </w:r>
      <w:r>
        <w:t xml:space="preserve"> </w:t>
      </w:r>
      <w:r>
        <w:t xml:space="preserve">result at about 106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 shows only PCCC version 2.0, with</w:t>
      </w:r>
      <w:r>
        <w:t xml:space="preserve"> </w:t>
      </w:r>
      <w:r>
        <w:t xml:space="preserve">about 152 seconds for current flagging.</w:t>
      </w:r>
    </w:p>
    <w:bookmarkEnd w:id="60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https://cran.r-project.org/src/base/NEWS.3#:~:text=R%20has%20new,to%20version%203.5.0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01/jamanetworkopen.2024.20579" TargetMode="External" /><Relationship Type="http://schemas.openxmlformats.org/officeDocument/2006/relationships/hyperlink" Id="rId50" Target="https://doi.org/10.1001/jamapediatrics.2018.0256" TargetMode="External" /><Relationship Type="http://schemas.openxmlformats.org/officeDocument/2006/relationships/hyperlink" Id="rId24" Target="https://doi.org/10.1093/aje/kwq433" TargetMode="External" /><Relationship Type="http://schemas.openxmlformats.org/officeDocument/2006/relationships/hyperlink" Id="rId22" Target="https://doi.org/10.1097/01.mlr.0000182534.19832.83" TargetMode="External" /><Relationship Type="http://schemas.openxmlformats.org/officeDocument/2006/relationships/hyperlink" Id="rId56" Target="https://doi.org/10.1161/01.cir.101.23.e215" TargetMode="External" /><Relationship Type="http://schemas.openxmlformats.org/officeDocument/2006/relationships/hyperlink" Id="rId28" Target="https://doi.org/10.1186/1471-2431-14-199" TargetMode="External" /><Relationship Type="http://schemas.openxmlformats.org/officeDocument/2006/relationships/hyperlink" Id="rId53" Target="https://doi.org/10.13026/kpb9-mt58" TargetMode="External" /><Relationship Type="http://schemas.openxmlformats.org/officeDocument/2006/relationships/hyperlink" Id="rId37" Target="https://doi.org/10.21105/joss.00648" TargetMode="External" /><Relationship Type="http://schemas.openxmlformats.org/officeDocument/2006/relationships/hyperlink" Id="rId46" Target="https://doi.org/10.32614/CRAN.package.data.table" TargetMode="External" /><Relationship Type="http://schemas.openxmlformats.org/officeDocument/2006/relationships/hyperlink" Id="rId48" Target="https://doi.org/10.32614/CRAN.package.dplyr" TargetMode="External" /><Relationship Type="http://schemas.openxmlformats.org/officeDocument/2006/relationships/hyperlink" Id="rId42" Target="https://doi.org/10.32614/CRAN.package.icdcomorbid" TargetMode="External" /><Relationship Type="http://schemas.openxmlformats.org/officeDocument/2006/relationships/hyperlink" Id="rId44" Target="https://doi.org/10.32614/CRAN.package.multimorbidity" TargetMode="External" /><Relationship Type="http://schemas.openxmlformats.org/officeDocument/2006/relationships/hyperlink" Id="rId39" Target="https://github.com/CUD2V/pccc" TargetMode="External" /><Relationship Type="http://schemas.openxmlformats.org/officeDocument/2006/relationships/hyperlink" Id="rId30" Target="https://hcup-us.ahrq.gov/toolssoftware/comorbidityicd10/comorbidity_icd10.jsp" TargetMode="External" /><Relationship Type="http://schemas.openxmlformats.org/officeDocument/2006/relationships/hyperlink" Id="rId32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networkopen.2024.20579" TargetMode="External" /><Relationship Type="http://schemas.openxmlformats.org/officeDocument/2006/relationships/hyperlink" Id="rId50" Target="https://doi.org/10.1001/jamapediatrics.2018.0256" TargetMode="External" /><Relationship Type="http://schemas.openxmlformats.org/officeDocument/2006/relationships/hyperlink" Id="rId24" Target="https://doi.org/10.1093/aje/kwq433" TargetMode="External" /><Relationship Type="http://schemas.openxmlformats.org/officeDocument/2006/relationships/hyperlink" Id="rId22" Target="https://doi.org/10.1097/01.mlr.0000182534.19832.83" TargetMode="External" /><Relationship Type="http://schemas.openxmlformats.org/officeDocument/2006/relationships/hyperlink" Id="rId56" Target="https://doi.org/10.1161/01.cir.101.23.e215" TargetMode="External" /><Relationship Type="http://schemas.openxmlformats.org/officeDocument/2006/relationships/hyperlink" Id="rId28" Target="https://doi.org/10.1186/1471-2431-14-199" TargetMode="External" /><Relationship Type="http://schemas.openxmlformats.org/officeDocument/2006/relationships/hyperlink" Id="rId53" Target="https://doi.org/10.13026/kpb9-mt58" TargetMode="External" /><Relationship Type="http://schemas.openxmlformats.org/officeDocument/2006/relationships/hyperlink" Id="rId37" Target="https://doi.org/10.21105/joss.00648" TargetMode="External" /><Relationship Type="http://schemas.openxmlformats.org/officeDocument/2006/relationships/hyperlink" Id="rId46" Target="https://doi.org/10.32614/CRAN.package.data.table" TargetMode="External" /><Relationship Type="http://schemas.openxmlformats.org/officeDocument/2006/relationships/hyperlink" Id="rId48" Target="https://doi.org/10.32614/CRAN.package.dplyr" TargetMode="External" /><Relationship Type="http://schemas.openxmlformats.org/officeDocument/2006/relationships/hyperlink" Id="rId42" Target="https://doi.org/10.32614/CRAN.package.icdcomorbid" TargetMode="External" /><Relationship Type="http://schemas.openxmlformats.org/officeDocument/2006/relationships/hyperlink" Id="rId44" Target="https://doi.org/10.32614/CRAN.package.multimorbidity" TargetMode="External" /><Relationship Type="http://schemas.openxmlformats.org/officeDocument/2006/relationships/hyperlink" Id="rId39" Target="https://github.com/CUD2V/pccc" TargetMode="External" /><Relationship Type="http://schemas.openxmlformats.org/officeDocument/2006/relationships/hyperlink" Id="rId30" Target="https://hcup-us.ahrq.gov/toolssoftware/comorbidityicd10/comorbidity_icd10.jsp" TargetMode="External" /><Relationship Type="http://schemas.openxmlformats.org/officeDocument/2006/relationships/hyperlink" Id="rId32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2026-03-17T14:35:53Z</dcterms:created>
  <dcterms:modified xsi:type="dcterms:W3CDTF">2026-03-17T14:35:53Z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