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 medicalcoder 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captures comorbidities missed</w:t>
      </w:r>
      <w:r>
        <w:t xml:space="preserve"> </w:t>
      </w:r>
      <w:r>
        <w:t xml:space="preserve">by encounter-level aggregation while accounting for present-on-admission or</w:t>
      </w:r>
      <w:r>
        <w:t xml:space="preserve"> </w:t>
      </w:r>
      <w:r>
        <w:t xml:space="preserve">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[15–17]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[5,10–14,18–21]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[22]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[23]</w:t>
      </w:r>
      <w:r>
        <w:t xml:space="preserve"> </w:t>
      </w:r>
      <w:r>
        <w:t xml:space="preserve">and dplyr</w:t>
      </w:r>
      <w:r>
        <w:t xml:space="preserve"> </w:t>
      </w:r>
      <w:r>
        <w:t xml:space="preserve">[24]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[11,19]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[20,21]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[25–27]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[20,21]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4.5.3 (2026-03-11).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5" w:name="ref-hripcsak2013next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5"/>
    <w:bookmarkStart w:id="46" w:name="ref-casey2016using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6"/>
    <w:bookmarkStart w:id="47" w:name="ref-jensen2014temporal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7"/>
    <w:bookmarkStart w:id="48" w:name="ref-ahrq2017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48"/>
    <w:bookmarkStart w:id="50" w:name="ref-feinstein2018pc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johnson2022mimiccode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3"/>
    <w:bookmarkStart w:id="54" w:name="ref-watson2025trends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4"/>
    <w:bookmarkStart w:id="56" w:name="ref-r-data.tabl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6"/>
    <w:bookmarkStart w:id="58" w:name="ref-r-dplyr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58"/>
    <w:bookmarkStart w:id="60" w:name="ref-PhysioNet-mimiciv-3.1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9">
        <w:r>
          <w:rPr>
            <w:rStyle w:val="Hyperlink"/>
          </w:rPr>
          <w:t xml:space="preserve">10.13026/kpb9-mt58</w:t>
        </w:r>
      </w:hyperlink>
    </w:p>
    <w:bookmarkEnd w:id="60"/>
    <w:bookmarkStart w:id="61" w:name="ref-johnson2023mimic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1"/>
    <w:bookmarkStart w:id="63" w:name="ref-PhysioNet2000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2">
        <w:r>
          <w:rPr>
            <w:rStyle w:val="Hyperlink"/>
          </w:rPr>
          <w:t xml:space="preserve">10.1161/01.cir.101.23.e215</w:t>
        </w:r>
      </w:hyperlink>
    </w:p>
    <w:bookmarkEnd w:id="63"/>
    <w:bookmarkEnd w:id="64"/>
    <w:p>
      <w:r>
        <w:br w:type="page"/>
      </w:r>
    </w:p>
    <w:bookmarkEnd w:id="65"/>
    <w:bookmarkStart w:id="6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2 to</w:t>
      </w:r>
      <w:r>
        <w:t xml:space="preserve"> </w:t>
      </w:r>
      <w:r>
        <w:t xml:space="preserve">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49 seconds for Charlson,</w:t>
      </w:r>
      <w:r>
        <w:t xml:space="preserve"> </w:t>
      </w:r>
      <w:r>
        <w:t xml:space="preserve">78 seconds for Elixhauser. The MIMIC-IV code panel shows a</w:t>
      </w:r>
      <w:r>
        <w:t xml:space="preserve"> </w:t>
      </w:r>
      <w:r>
        <w:t xml:space="preserve">single Charlson result at about 113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155 seconds for current</w:t>
      </w:r>
      <w:r>
        <w:t xml:space="preserve"> </w:t>
      </w:r>
      <w:r>
        <w:t xml:space="preserve">flagging.</w:t>
      </w:r>
    </w:p>
    <w:bookmarkEnd w:id="66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2026-03-26T17:46:14Z</dcterms:created>
  <dcterms:modified xsi:type="dcterms:W3CDTF">2026-03-26T17:46:14Z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